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172" w:rsidRPr="000C7281" w:rsidRDefault="00794D6C" w:rsidP="00757B85">
      <w:pPr>
        <w:pStyle w:val="Title"/>
        <w:tabs>
          <w:tab w:val="left" w:pos="-5400"/>
          <w:tab w:val="left" w:pos="-3330"/>
        </w:tabs>
        <w:rPr>
          <w:sz w:val="24"/>
        </w:rPr>
      </w:pPr>
      <w:r w:rsidRPr="000C7281">
        <w:rPr>
          <w:sz w:val="24"/>
        </w:rPr>
        <w:t xml:space="preserve">Regional Innovation System </w:t>
      </w:r>
      <w:r w:rsidR="005A18C8" w:rsidRPr="000C7281">
        <w:rPr>
          <w:sz w:val="24"/>
          <w:lang w:val="id-ID"/>
        </w:rPr>
        <w:t>i</w:t>
      </w:r>
      <w:r w:rsidRPr="000C7281">
        <w:rPr>
          <w:sz w:val="24"/>
        </w:rPr>
        <w:t xml:space="preserve">n Rural </w:t>
      </w:r>
      <w:r w:rsidR="005A18C8" w:rsidRPr="000C7281">
        <w:rPr>
          <w:sz w:val="24"/>
          <w:lang w:val="id-ID"/>
        </w:rPr>
        <w:t xml:space="preserve">Economic </w:t>
      </w:r>
      <w:r w:rsidRPr="000C7281">
        <w:rPr>
          <w:sz w:val="24"/>
        </w:rPr>
        <w:t>Institutional: Empirical Evidence From Semarang, Indonesia</w:t>
      </w:r>
    </w:p>
    <w:p w:rsidR="00D73172" w:rsidRPr="000C7281" w:rsidRDefault="00D73172" w:rsidP="00D73172">
      <w:pPr>
        <w:jc w:val="center"/>
        <w:rPr>
          <w:b/>
          <w:sz w:val="28"/>
        </w:rPr>
      </w:pPr>
    </w:p>
    <w:p w:rsidR="00D73172" w:rsidRPr="000C7281" w:rsidRDefault="00DC09AC" w:rsidP="00795670">
      <w:pPr>
        <w:jc w:val="center"/>
        <w:rPr>
          <w:b/>
          <w:sz w:val="20"/>
        </w:rPr>
      </w:pPr>
      <w:r w:rsidRPr="000C7281">
        <w:rPr>
          <w:b/>
          <w:sz w:val="20"/>
        </w:rPr>
        <w:t>Edy Dwi Kurniati</w:t>
      </w:r>
      <w:r w:rsidR="00D73172" w:rsidRPr="000C7281">
        <w:rPr>
          <w:b/>
          <w:sz w:val="20"/>
          <w:vertAlign w:val="superscript"/>
        </w:rPr>
        <w:t>1)</w:t>
      </w:r>
      <w:r w:rsidR="00D73172" w:rsidRPr="000C7281">
        <w:rPr>
          <w:b/>
          <w:sz w:val="20"/>
        </w:rPr>
        <w:t xml:space="preserve">, </w:t>
      </w:r>
      <w:r w:rsidRPr="000C7281">
        <w:rPr>
          <w:b/>
          <w:sz w:val="20"/>
        </w:rPr>
        <w:t>Indah Susilowati</w:t>
      </w:r>
      <w:r w:rsidR="00D73172" w:rsidRPr="000C7281">
        <w:rPr>
          <w:b/>
          <w:sz w:val="20"/>
          <w:vertAlign w:val="superscript"/>
        </w:rPr>
        <w:t>2)</w:t>
      </w:r>
    </w:p>
    <w:p w:rsidR="00DC09AC" w:rsidRPr="000C7281" w:rsidRDefault="00D73172" w:rsidP="00DC09AC">
      <w:pPr>
        <w:jc w:val="center"/>
        <w:rPr>
          <w:sz w:val="20"/>
        </w:rPr>
      </w:pPr>
      <w:r w:rsidRPr="000C7281">
        <w:rPr>
          <w:sz w:val="20"/>
          <w:vertAlign w:val="superscript"/>
        </w:rPr>
        <w:t>1</w:t>
      </w:r>
      <w:r w:rsidR="00DC09AC" w:rsidRPr="000C7281">
        <w:rPr>
          <w:sz w:val="20"/>
        </w:rPr>
        <w:t xml:space="preserve">Faculty of Economics and Business,Universitas Darul Ulum Islamic Centre Sudirman GUPPI (UNDARIS) Semarang, Indonesia, E-mail: </w:t>
      </w:r>
      <w:hyperlink r:id="rId8" w:history="1">
        <w:r w:rsidR="00DC09AC" w:rsidRPr="000C7281">
          <w:rPr>
            <w:rStyle w:val="Hyperlink"/>
            <w:color w:val="auto"/>
            <w:sz w:val="20"/>
          </w:rPr>
          <w:t>kurni_edy@yahoo.co.id</w:t>
        </w:r>
      </w:hyperlink>
      <w:r w:rsidR="00DC09AC" w:rsidRPr="000C7281">
        <w:rPr>
          <w:sz w:val="20"/>
          <w:lang w:val="id-ID"/>
        </w:rPr>
        <w:t xml:space="preserve">, </w:t>
      </w:r>
      <w:r w:rsidR="00DC09AC" w:rsidRPr="000C7281">
        <w:rPr>
          <w:sz w:val="20"/>
        </w:rPr>
        <w:t>, *Corresponding Author</w:t>
      </w:r>
    </w:p>
    <w:p w:rsidR="00D73172" w:rsidRPr="000C7281" w:rsidRDefault="00D73172" w:rsidP="00DC09AC">
      <w:pPr>
        <w:jc w:val="center"/>
        <w:rPr>
          <w:sz w:val="20"/>
        </w:rPr>
      </w:pPr>
      <w:r w:rsidRPr="000C7281">
        <w:rPr>
          <w:sz w:val="20"/>
          <w:vertAlign w:val="superscript"/>
        </w:rPr>
        <w:t>2</w:t>
      </w:r>
      <w:r w:rsidR="00DC09AC" w:rsidRPr="000C7281">
        <w:rPr>
          <w:sz w:val="20"/>
        </w:rPr>
        <w:t xml:space="preserve">Faculty of Economics and Business, Univeristas Diponegoro Semarang, Indonesia, E-mail: </w:t>
      </w:r>
      <w:hyperlink r:id="rId9" w:history="1">
        <w:r w:rsidR="00DC09AC" w:rsidRPr="000C7281">
          <w:rPr>
            <w:rStyle w:val="Hyperlink"/>
            <w:color w:val="auto"/>
            <w:sz w:val="20"/>
          </w:rPr>
          <w:t>indahsusilowati@undip.ac.id</w:t>
        </w:r>
      </w:hyperlink>
    </w:p>
    <w:p w:rsidR="00D73172" w:rsidRDefault="00D73172" w:rsidP="00D73172">
      <w:pPr>
        <w:rPr>
          <w:sz w:val="20"/>
          <w:vertAlign w:val="superscript"/>
        </w:rPr>
      </w:pPr>
    </w:p>
    <w:p w:rsidR="00141B10" w:rsidRDefault="00141B10" w:rsidP="00D73172">
      <w:pPr>
        <w:rPr>
          <w:sz w:val="20"/>
          <w:vertAlign w:val="superscript"/>
        </w:rPr>
      </w:pPr>
    </w:p>
    <w:p w:rsidR="00141B10" w:rsidRPr="00141B10" w:rsidRDefault="00141B10" w:rsidP="00D73172">
      <w:pPr>
        <w:rPr>
          <w:b/>
        </w:rPr>
      </w:pPr>
    </w:p>
    <w:p w:rsidR="00D73172" w:rsidRPr="000C7281" w:rsidRDefault="005A18C8" w:rsidP="00BA71B5">
      <w:pPr>
        <w:spacing w:after="120"/>
        <w:jc w:val="center"/>
        <w:rPr>
          <w:b/>
          <w:i/>
          <w:sz w:val="22"/>
          <w:szCs w:val="22"/>
        </w:rPr>
      </w:pPr>
      <w:r w:rsidRPr="000C7281">
        <w:rPr>
          <w:b/>
          <w:i/>
          <w:sz w:val="22"/>
          <w:szCs w:val="22"/>
        </w:rPr>
        <w:t>Abstract</w:t>
      </w:r>
    </w:p>
    <w:p w:rsidR="005A18C8" w:rsidRPr="000C7281" w:rsidRDefault="005A18C8" w:rsidP="005A18C8">
      <w:pPr>
        <w:autoSpaceDE w:val="0"/>
        <w:ind w:right="14"/>
        <w:jc w:val="both"/>
        <w:rPr>
          <w:i/>
          <w:sz w:val="22"/>
          <w:szCs w:val="22"/>
        </w:rPr>
      </w:pPr>
      <w:r w:rsidRPr="000C7281">
        <w:rPr>
          <w:i/>
          <w:sz w:val="22"/>
          <w:szCs w:val="22"/>
        </w:rPr>
        <w:t xml:space="preserve">This study aims to analyze the factors that influence the innovation capacity of the rural economic institution and its impact on institutional performance.Research was conducted by interviewing 111 managers of rural economic institutions in Semarang regency, Indonesia. Factors of policy and regulation, development of innovation infrastructure, assistance and integration of knowledge were used to analyze the role of the Government and Higher Education in the village innovation system. The institutional management and innovation culture capacity factors were used to analyze the role of rural economic institutions. Policy and regulatory factors, innovation infrastructure, management capacity, assistance capacity, innovation culture and knowledge integration were measured based on the preference of the rural economic institution manager. The </w:t>
      </w:r>
      <w:r w:rsidRPr="000C7281">
        <w:rPr>
          <w:i/>
          <w:sz w:val="22"/>
          <w:szCs w:val="22"/>
          <w:lang w:val="id-ID"/>
        </w:rPr>
        <w:t>qualitative</w:t>
      </w:r>
      <w:r w:rsidRPr="000C7281">
        <w:rPr>
          <w:i/>
          <w:sz w:val="22"/>
          <w:szCs w:val="22"/>
        </w:rPr>
        <w:t xml:space="preserve"> model was examined through an empirical analysis to fulfill the proposed aim of the research.</w:t>
      </w:r>
      <w:r w:rsidR="00445248" w:rsidRPr="000C7281">
        <w:rPr>
          <w:i/>
          <w:sz w:val="22"/>
          <w:szCs w:val="22"/>
        </w:rPr>
        <w:t xml:space="preserve">The results of the study showed that: </w:t>
      </w:r>
      <w:r w:rsidRPr="000C7281">
        <w:rPr>
          <w:i/>
          <w:sz w:val="22"/>
          <w:szCs w:val="22"/>
        </w:rPr>
        <w:t xml:space="preserve">the influential factors on the innovation </w:t>
      </w:r>
      <w:r w:rsidR="00445248" w:rsidRPr="000C7281">
        <w:rPr>
          <w:i/>
          <w:sz w:val="22"/>
          <w:szCs w:val="22"/>
        </w:rPr>
        <w:t xml:space="preserve">capacity </w:t>
      </w:r>
      <w:r w:rsidRPr="000C7281">
        <w:rPr>
          <w:i/>
          <w:sz w:val="22"/>
          <w:szCs w:val="22"/>
        </w:rPr>
        <w:t xml:space="preserve">in rural areas were </w:t>
      </w:r>
      <w:r w:rsidR="00445248" w:rsidRPr="000C7281">
        <w:rPr>
          <w:i/>
          <w:sz w:val="22"/>
          <w:szCs w:val="22"/>
        </w:rPr>
        <w:t>policy and regulation support, innovation infrastructure, management capacity, innovation culture and knowledge management</w:t>
      </w:r>
      <w:r w:rsidRPr="000C7281">
        <w:rPr>
          <w:i/>
          <w:sz w:val="22"/>
          <w:szCs w:val="22"/>
        </w:rPr>
        <w:t xml:space="preserve">. </w:t>
      </w:r>
      <w:r w:rsidR="00445248" w:rsidRPr="000C7281">
        <w:rPr>
          <w:i/>
          <w:sz w:val="22"/>
          <w:szCs w:val="22"/>
        </w:rPr>
        <w:t>Innovation Capacity had a positive impact on institutional performance.</w:t>
      </w:r>
      <w:r w:rsidRPr="000C7281">
        <w:rPr>
          <w:i/>
          <w:sz w:val="22"/>
          <w:szCs w:val="22"/>
        </w:rPr>
        <w:t>The implication of this study highlighted the importance of strengthening institutional and knowledge-based rural economic organizations which was integrated among stakeholders as actors in the rural innovation system.</w:t>
      </w:r>
    </w:p>
    <w:p w:rsidR="00D73172" w:rsidRPr="000C7281" w:rsidRDefault="00D73172" w:rsidP="00D73172">
      <w:pPr>
        <w:autoSpaceDE w:val="0"/>
        <w:jc w:val="right"/>
        <w:rPr>
          <w:b/>
          <w:i/>
          <w:sz w:val="22"/>
          <w:szCs w:val="22"/>
        </w:rPr>
      </w:pPr>
    </w:p>
    <w:p w:rsidR="00D73172" w:rsidRPr="000C7281" w:rsidRDefault="00D73172" w:rsidP="00226989">
      <w:pPr>
        <w:autoSpaceDE w:val="0"/>
        <w:spacing w:after="120"/>
        <w:ind w:left="1080" w:right="14" w:hanging="1080"/>
        <w:rPr>
          <w:i/>
          <w:sz w:val="22"/>
          <w:szCs w:val="22"/>
        </w:rPr>
      </w:pPr>
      <w:r w:rsidRPr="000C7281">
        <w:rPr>
          <w:b/>
          <w:i/>
          <w:sz w:val="22"/>
          <w:szCs w:val="22"/>
        </w:rPr>
        <w:t>Keywords:</w:t>
      </w:r>
      <w:r w:rsidR="005A18C8" w:rsidRPr="000C7281">
        <w:rPr>
          <w:i/>
          <w:sz w:val="22"/>
          <w:szCs w:val="22"/>
        </w:rPr>
        <w:t>regional innovation system, rura</w:t>
      </w:r>
      <w:r w:rsidR="005A18C8" w:rsidRPr="000C7281">
        <w:rPr>
          <w:i/>
          <w:sz w:val="22"/>
          <w:szCs w:val="22"/>
          <w:lang w:val="id-ID"/>
        </w:rPr>
        <w:t>l</w:t>
      </w:r>
      <w:r w:rsidR="005A18C8" w:rsidRPr="000C7281">
        <w:rPr>
          <w:i/>
          <w:sz w:val="22"/>
          <w:szCs w:val="22"/>
        </w:rPr>
        <w:t xml:space="preserve"> economic institution</w:t>
      </w:r>
    </w:p>
    <w:p w:rsidR="005E0159" w:rsidRPr="000C7281" w:rsidRDefault="005E0159" w:rsidP="00757B85">
      <w:pPr>
        <w:autoSpaceDE w:val="0"/>
        <w:spacing w:after="120"/>
        <w:ind w:left="1080" w:right="14" w:hanging="1080"/>
        <w:rPr>
          <w:i/>
          <w:sz w:val="22"/>
          <w:szCs w:val="22"/>
        </w:rPr>
      </w:pPr>
      <w:r w:rsidRPr="000C7281">
        <w:rPr>
          <w:b/>
          <w:i/>
          <w:sz w:val="22"/>
          <w:szCs w:val="22"/>
        </w:rPr>
        <w:t>JEL</w:t>
      </w:r>
      <w:r w:rsidR="00757B85" w:rsidRPr="000C7281">
        <w:rPr>
          <w:b/>
          <w:i/>
          <w:sz w:val="22"/>
          <w:szCs w:val="22"/>
        </w:rPr>
        <w:t>classification</w:t>
      </w:r>
      <w:r w:rsidRPr="000C7281">
        <w:rPr>
          <w:b/>
          <w:i/>
          <w:sz w:val="22"/>
          <w:szCs w:val="22"/>
        </w:rPr>
        <w:t>:</w:t>
      </w:r>
      <w:r w:rsidR="0073454B" w:rsidRPr="000C7281">
        <w:rPr>
          <w:b/>
          <w:i/>
          <w:sz w:val="22"/>
          <w:szCs w:val="22"/>
        </w:rPr>
        <w:t>O31</w:t>
      </w:r>
    </w:p>
    <w:p w:rsidR="00612CF4" w:rsidRPr="000C7281" w:rsidRDefault="00612CF4" w:rsidP="00612CF4"/>
    <w:p w:rsidR="005E0159" w:rsidRPr="000C7281" w:rsidRDefault="005E0159" w:rsidP="00612CF4">
      <w:pPr>
        <w:sectPr w:rsidR="005E0159" w:rsidRPr="000C7281" w:rsidSect="00482F53">
          <w:footerReference w:type="even" r:id="rId10"/>
          <w:footerReference w:type="default" r:id="rId11"/>
          <w:pgSz w:w="11909" w:h="16834" w:code="9"/>
          <w:pgMar w:top="1701" w:right="1701" w:bottom="1985" w:left="1701" w:header="1060" w:footer="1242" w:gutter="0"/>
          <w:cols w:space="720"/>
          <w:docGrid w:linePitch="360"/>
        </w:sectPr>
      </w:pPr>
    </w:p>
    <w:p w:rsidR="00F41C66" w:rsidRPr="000C7281" w:rsidRDefault="00F41C66" w:rsidP="00612CF4">
      <w:pPr>
        <w:sectPr w:rsidR="00F41C66" w:rsidRPr="000C7281" w:rsidSect="005E0159">
          <w:type w:val="continuous"/>
          <w:pgSz w:w="11909" w:h="16834" w:code="9"/>
          <w:pgMar w:top="1701" w:right="1701" w:bottom="1985" w:left="1701" w:header="1060" w:footer="1242" w:gutter="0"/>
          <w:cols w:space="720"/>
          <w:docGrid w:linePitch="360"/>
        </w:sectPr>
      </w:pPr>
    </w:p>
    <w:p w:rsidR="00D73172" w:rsidRPr="000C7281" w:rsidRDefault="00226989" w:rsidP="00226989">
      <w:pPr>
        <w:pStyle w:val="Heading1"/>
        <w:numPr>
          <w:ilvl w:val="0"/>
          <w:numId w:val="2"/>
        </w:numPr>
        <w:suppressAutoHyphens/>
        <w:spacing w:after="60"/>
        <w:ind w:left="272" w:hanging="272"/>
        <w:rPr>
          <w:i w:val="0"/>
          <w:sz w:val="22"/>
          <w:szCs w:val="22"/>
        </w:rPr>
      </w:pPr>
      <w:r w:rsidRPr="000C7281">
        <w:rPr>
          <w:i w:val="0"/>
          <w:sz w:val="22"/>
          <w:szCs w:val="22"/>
        </w:rPr>
        <w:lastRenderedPageBreak/>
        <w:t>INTRODUCTION</w:t>
      </w:r>
    </w:p>
    <w:p w:rsidR="005A18C8" w:rsidRPr="000C7281" w:rsidRDefault="005A18C8" w:rsidP="005A18C8">
      <w:pPr>
        <w:spacing w:after="120"/>
        <w:ind w:firstLine="360"/>
        <w:jc w:val="both"/>
        <w:rPr>
          <w:sz w:val="22"/>
          <w:szCs w:val="22"/>
        </w:rPr>
      </w:pPr>
      <w:r w:rsidRPr="000C7281">
        <w:rPr>
          <w:sz w:val="22"/>
          <w:szCs w:val="22"/>
        </w:rPr>
        <w:t>Free trade provides opportunities for businesses in Indonesia to compete by increasing the efficiency and quality of products, giving wider market opportunities and reducing trade barriers (Uhl-Bien et al., 2007: 3). In the era of free markets like today, small-scale farmers, traders and industries that are mostly in rural areas have difficulty competing due to economic scale factors and limitations in accessing resources (Royer, et al., 2016: 144). Based on New Institutional Economic Theory (NIE) (Coase, 1937; North, 1991; Williamson, 2000) icro-scale and small-scale businesses can collaborate by: forming institutions (which are based on contracts, vertical and horizontal organizations, and partnerships), increasing governance in accessing resources (raw materials, information and market, finance, technology and innovation), increasing economic scale so that they have the ability to compete in the free market era.</w:t>
      </w:r>
    </w:p>
    <w:p w:rsidR="005A18C8" w:rsidRPr="000C7281" w:rsidRDefault="005A18C8" w:rsidP="005A18C8">
      <w:pPr>
        <w:spacing w:after="120"/>
        <w:ind w:firstLine="360"/>
        <w:jc w:val="both"/>
        <w:rPr>
          <w:sz w:val="22"/>
          <w:szCs w:val="22"/>
        </w:rPr>
      </w:pPr>
      <w:r w:rsidRPr="000C7281">
        <w:rPr>
          <w:sz w:val="22"/>
          <w:szCs w:val="22"/>
        </w:rPr>
        <w:t xml:space="preserve">Semarang Regency is one of the regions in Central Java Province, Indonesia; economic growth of which is supported by the leading sectors of industry, agriculture and tourism (Semarang Regency Bappeda, 2016: 1). Most villagers (72.6%) live in the agricultural and industrial sectors (BPS, 2016). The agricultural sector, processing industry and services are the </w:t>
      </w:r>
      <w:r w:rsidRPr="000C7281">
        <w:rPr>
          <w:sz w:val="22"/>
          <w:szCs w:val="22"/>
        </w:rPr>
        <w:lastRenderedPageBreak/>
        <w:t>leading sectors of Semarang Regency to compete in the global era (Semarang Regency Bappeda, 2016: 4). The development of the agricultural and industrial sectors in the countryside is one of the strategies to compete in the global era based on local wisdom. Rural areas provide not only basic natural resources, but also the source of local wisdom (Brillyanes and Wilopo, 2017: 2). Rural development aims to improve the quality of human life and to alleviate the poverty through the provision of basic needs, the construction of facilities and infrastructure, the development of potential of local economy, and the sustainable use of natural and environmental resources, by promoting togetherness, kinship and mutual cooperation (Pyburn and Woodhill, 2014: 73). However, in rural areas, natural resources and agricultural land are increasingly limited along with population growth (Kurniati, 2014), so that innovation in rural areas is needed in such dynamically changing environmental conditions.</w:t>
      </w:r>
    </w:p>
    <w:p w:rsidR="005A18C8" w:rsidRPr="000C7281" w:rsidRDefault="005A18C8" w:rsidP="005A18C8">
      <w:pPr>
        <w:spacing w:after="120"/>
        <w:ind w:firstLine="360"/>
        <w:jc w:val="both"/>
        <w:rPr>
          <w:sz w:val="22"/>
          <w:szCs w:val="22"/>
        </w:rPr>
      </w:pPr>
      <w:r w:rsidRPr="000C7281">
        <w:rPr>
          <w:sz w:val="22"/>
          <w:szCs w:val="22"/>
        </w:rPr>
        <w:t>The Rural Innovation System Program (RISP) (Sumpeno et al., 2017) is one of the strategies in national innovation system that embodies the process of interaction between the strengthening components of the innovation system in rural areas. Each village must conduct some important actions to strengthen RISP, i.e. creating a policy to establish coordination team and RISP Roadmap, structuring RISP in the area of both  institution and RISP resources, developing RISP through local potential, and coordinating and reporting to the central government. Actors in the Rural Innovation System Program include: 1) Government, 2) economic (industry) actors both individuals and institutions and communities, 3) Universities.</w:t>
      </w:r>
    </w:p>
    <w:p w:rsidR="005A18C8" w:rsidRPr="000C7281" w:rsidRDefault="005A18C8" w:rsidP="005A18C8">
      <w:pPr>
        <w:spacing w:after="120"/>
        <w:ind w:firstLine="360"/>
        <w:jc w:val="both"/>
        <w:rPr>
          <w:sz w:val="22"/>
          <w:szCs w:val="22"/>
        </w:rPr>
      </w:pPr>
      <w:r w:rsidRPr="000C7281">
        <w:rPr>
          <w:sz w:val="22"/>
          <w:szCs w:val="22"/>
        </w:rPr>
        <w:t>At the level of economic institutions, the success of the Rural Innovation System Program is influenced by: policy and regulation, innovation infrastructure, institutional capacity and culture of innovation (BPPT, 2013; Verheul, 2001). From the regulation perspective, government has strived for providing incentives for innovation conducts, but the problem is that there is no legal guarantee for violations of Intellectual Property Rights. In terms of infrastructure, guidelines for village innovation, innovation grants, assistance, innovation / appropriate technology exchanges are available for facilitating innovators (at the level of economic institutions) to undertake rural innovation activities. However, many rural areas in many developing countries have a weak institutional capacity, a low culture of innovation and entrepreneurship, and tend to be resistant to the change (Dorward et al., 2003). Various policies and regulations, the development of innovation infrastructure (guidelines, applications, IT), institutional capacity (training) and culture of innovation (empowerment) have been carried out by the government, but innovation activities at the rural institutions level (such as: Bumdes, Gapoktan) have not been optimal. This is because, in general, administrators of economic institutions in rural areas have low education, are not accustomed to accessing to information except that of from village officials, agricultural extension agents, and marketers.</w:t>
      </w:r>
    </w:p>
    <w:p w:rsidR="005A18C8" w:rsidRPr="000C7281" w:rsidRDefault="005A18C8" w:rsidP="005A18C8">
      <w:pPr>
        <w:spacing w:after="120"/>
        <w:ind w:firstLine="360"/>
        <w:jc w:val="both"/>
        <w:rPr>
          <w:sz w:val="22"/>
          <w:szCs w:val="22"/>
        </w:rPr>
      </w:pPr>
      <w:r w:rsidRPr="000C7281">
        <w:rPr>
          <w:sz w:val="22"/>
          <w:szCs w:val="22"/>
        </w:rPr>
        <w:t xml:space="preserve">In terms of infrastructure, the use of information technology has reached rural areas, however knowledge management activities that facilitate innovators have not been optimal. Innovators at the level of economic institutions in rural areas need a knowledge management system that accommodates them in carrying out innovation activities, such as in: choosing effective technologies, innovation-based problem solving, applications for composing innovation proposals, report on the use of funds which is connected with stakeholders (such as : escort agencies, government institutions, financial institutions, insurance institutions). Innovative infrastructure support significantly lowers transaction costs and supports access to innovation activities (Barrett, 2008). Infrastructure is important, especially for farmers, industrial actors and rural institutions, to produce high quality products. That is because a poor infrastructure may cause problems of the decrease in quality and access to input resources and markets (World Bank, 2007). In complex and dynamic environments, integrated knowledge resources become increasingly important. Wallace (2006: 224) explains that internet technology </w:t>
      </w:r>
      <w:r w:rsidRPr="000C7281">
        <w:rPr>
          <w:sz w:val="22"/>
          <w:szCs w:val="22"/>
        </w:rPr>
        <w:lastRenderedPageBreak/>
        <w:t>and information have a major impact on serving business units or organizations to develop rapidly through information-driven, customer-centric, e-oriented and co-creation.</w:t>
      </w:r>
    </w:p>
    <w:p w:rsidR="005A18C8" w:rsidRPr="000C7281" w:rsidRDefault="005A18C8" w:rsidP="005A18C8">
      <w:pPr>
        <w:spacing w:after="120"/>
        <w:ind w:firstLine="360"/>
        <w:jc w:val="both"/>
        <w:rPr>
          <w:sz w:val="22"/>
          <w:szCs w:val="22"/>
        </w:rPr>
      </w:pPr>
    </w:p>
    <w:p w:rsidR="005A18C8" w:rsidRPr="000C7281" w:rsidRDefault="005A18C8" w:rsidP="005A18C8">
      <w:pPr>
        <w:spacing w:after="120"/>
        <w:ind w:firstLine="360"/>
        <w:jc w:val="both"/>
        <w:rPr>
          <w:sz w:val="22"/>
          <w:szCs w:val="22"/>
        </w:rPr>
      </w:pPr>
      <w:r w:rsidRPr="000C7281">
        <w:rPr>
          <w:sz w:val="22"/>
          <w:szCs w:val="22"/>
        </w:rPr>
        <w:t>Classical economic theory (Smith, 1776) explains that organizations (companies) consist of various resources. Which are used for production activities and creating prosperity. Schumpeter (1934) suggests that entrepreneurship is one of the production resources that affects "economic growth" in addition to other factors i.e. labor, increased capital accumulation, and technology. Verheul (2001) emphasizes that entrepreneurship works on innovation activities which disrupts economic balance and creates opportunities. An innovation is a new product, process, service management approach that is adopted on a significant scale because it is useful. It may solve a problem, increase efficiency, meet consumer demands, or open up whole new ways of doing things. Rural innovation has a number of dimensions - social, technical, organizational and institutional and can take different shapes and forms. Rural innovation system A network of individuals, organizations and enterprises focused on bringing new products, processes and forms of organization into social and economic use, to achieving food and nutrition security, economic development and sustainable natural resource management. FAO working definition (Rajalahti, 2012). Entrepreneurship through an innovation process introduces new products, production methods, markets, supply sources, or industrial combinations that influence the economy going out of the previous equilibrium (Figure 1).</w:t>
      </w:r>
    </w:p>
    <w:p w:rsidR="005A18C8" w:rsidRPr="000C7281" w:rsidRDefault="005A18C8" w:rsidP="005A18C8">
      <w:pPr>
        <w:spacing w:after="120"/>
        <w:ind w:firstLine="360"/>
        <w:jc w:val="both"/>
        <w:rPr>
          <w:sz w:val="22"/>
          <w:szCs w:val="22"/>
        </w:rPr>
      </w:pPr>
    </w:p>
    <w:p w:rsidR="005A18C8" w:rsidRPr="000C7281" w:rsidRDefault="005A18C8" w:rsidP="00445248">
      <w:pPr>
        <w:spacing w:after="120"/>
        <w:jc w:val="both"/>
        <w:rPr>
          <w:sz w:val="22"/>
          <w:szCs w:val="22"/>
        </w:rPr>
      </w:pPr>
      <w:r w:rsidRPr="000C7281">
        <w:rPr>
          <w:noProof/>
          <w:szCs w:val="24"/>
        </w:rPr>
        <w:drawing>
          <wp:inline distT="0" distB="0" distL="0" distR="0">
            <wp:extent cx="5401945" cy="1702097"/>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1945" cy="1702097"/>
                    </a:xfrm>
                    <a:prstGeom prst="rect">
                      <a:avLst/>
                    </a:prstGeom>
                  </pic:spPr>
                </pic:pic>
              </a:graphicData>
            </a:graphic>
          </wp:inline>
        </w:drawing>
      </w:r>
    </w:p>
    <w:p w:rsidR="005A18C8" w:rsidRPr="000C7281" w:rsidRDefault="005A18C8" w:rsidP="005A18C8">
      <w:pPr>
        <w:spacing w:after="120"/>
        <w:ind w:firstLine="360"/>
        <w:jc w:val="both"/>
        <w:rPr>
          <w:sz w:val="22"/>
          <w:szCs w:val="22"/>
        </w:rPr>
      </w:pPr>
    </w:p>
    <w:p w:rsidR="005A18C8" w:rsidRPr="000C7281" w:rsidRDefault="005A18C8" w:rsidP="00445248">
      <w:pPr>
        <w:jc w:val="both"/>
        <w:rPr>
          <w:sz w:val="22"/>
          <w:szCs w:val="22"/>
        </w:rPr>
      </w:pPr>
      <w:r w:rsidRPr="000C7281">
        <w:rPr>
          <w:sz w:val="22"/>
          <w:szCs w:val="22"/>
        </w:rPr>
        <w:t>Figure 1. Framework of  Innovation Activity</w:t>
      </w:r>
    </w:p>
    <w:p w:rsidR="005A18C8" w:rsidRPr="000C7281" w:rsidRDefault="005A18C8" w:rsidP="00445248">
      <w:pPr>
        <w:jc w:val="both"/>
        <w:rPr>
          <w:sz w:val="22"/>
          <w:szCs w:val="22"/>
        </w:rPr>
      </w:pPr>
      <w:r w:rsidRPr="000C7281">
        <w:rPr>
          <w:sz w:val="22"/>
          <w:szCs w:val="22"/>
        </w:rPr>
        <w:t>Source: developed from Verheul (2001)</w:t>
      </w:r>
    </w:p>
    <w:p w:rsidR="005A18C8" w:rsidRPr="000C7281" w:rsidRDefault="005A18C8" w:rsidP="005A18C8">
      <w:pPr>
        <w:ind w:firstLine="357"/>
        <w:jc w:val="both"/>
        <w:rPr>
          <w:sz w:val="22"/>
          <w:szCs w:val="22"/>
        </w:rPr>
      </w:pPr>
    </w:p>
    <w:p w:rsidR="005A18C8" w:rsidRPr="000C7281" w:rsidRDefault="005A18C8" w:rsidP="005A18C8">
      <w:pPr>
        <w:spacing w:after="120"/>
        <w:ind w:firstLine="360"/>
        <w:jc w:val="both"/>
        <w:rPr>
          <w:sz w:val="22"/>
          <w:szCs w:val="22"/>
        </w:rPr>
      </w:pPr>
      <w:r w:rsidRPr="000C7281">
        <w:rPr>
          <w:sz w:val="22"/>
          <w:szCs w:val="22"/>
        </w:rPr>
        <w:t>Innovation activity is carried out by entrepreneurs to achieve equilibrium (E) or disequilibrium (EE *). G is the government's effort to foster regional innovation through: 1) policy and regulation, 2) innovation infrastructure, 3) institution, 4) innovation culture. These are conducted correct disequilibrium (E-E *) so as to create economic growth.</w:t>
      </w:r>
    </w:p>
    <w:p w:rsidR="005A18C8" w:rsidRPr="000C7281" w:rsidRDefault="005A18C8" w:rsidP="005A18C8">
      <w:pPr>
        <w:spacing w:after="120"/>
        <w:ind w:firstLine="360"/>
        <w:jc w:val="both"/>
        <w:rPr>
          <w:sz w:val="22"/>
          <w:szCs w:val="22"/>
        </w:rPr>
      </w:pPr>
      <w:r w:rsidRPr="000C7281">
        <w:rPr>
          <w:sz w:val="22"/>
          <w:szCs w:val="22"/>
        </w:rPr>
        <w:t>1) Policy and Regulation. G1 is a government policy that encourages the growth of innovation activities in certain areas, seen from the demand of innovation such as tax incentives and export convenience. G5 is a government policy to develop regional innovation activity through macro policies such as: fiscal incentive policy, subsidy, protection policy for Intellectual Property Rights, and rules for guaranteeing healthy business competition.</w:t>
      </w:r>
    </w:p>
    <w:p w:rsidR="005A18C8" w:rsidRPr="000C7281" w:rsidRDefault="005A18C8" w:rsidP="005A18C8">
      <w:pPr>
        <w:spacing w:after="120"/>
        <w:ind w:firstLine="360"/>
        <w:jc w:val="both"/>
        <w:rPr>
          <w:sz w:val="22"/>
          <w:szCs w:val="22"/>
        </w:rPr>
      </w:pPr>
      <w:r w:rsidRPr="000C7281">
        <w:rPr>
          <w:sz w:val="22"/>
          <w:szCs w:val="22"/>
        </w:rPr>
        <w:t xml:space="preserve">2) Innovation Infrastructure. G3 is a government policy to develop existing regional innovation activity through the provision of information technology infrastructure, </w:t>
      </w:r>
      <w:r w:rsidRPr="000C7281">
        <w:rPr>
          <w:sz w:val="22"/>
          <w:szCs w:val="22"/>
        </w:rPr>
        <w:lastRenderedPageBreak/>
        <w:t>communication, knowledge management, guidance and counseling, and capital incentives to innovators, especially for small-scale businesses.</w:t>
      </w:r>
    </w:p>
    <w:p w:rsidR="005A18C8" w:rsidRPr="000C7281" w:rsidRDefault="005A18C8" w:rsidP="005A18C8">
      <w:pPr>
        <w:spacing w:after="120"/>
        <w:ind w:firstLine="360"/>
        <w:jc w:val="both"/>
        <w:rPr>
          <w:sz w:val="22"/>
          <w:szCs w:val="22"/>
        </w:rPr>
      </w:pPr>
      <w:r w:rsidRPr="000C7281">
        <w:rPr>
          <w:sz w:val="22"/>
          <w:szCs w:val="22"/>
        </w:rPr>
        <w:t>3) Institution. G2 is a government policy that stimulates the growth of innovation activity in certain areas in terms of the supply through Research and Development activities carried out by government agencies, agricultural counseling activities, education and training and institutional formation. Based on the New Institutional Economic Theory (NIE) (Coase, 1937; North, 1991; Williamson, 2000) micro and small-scale businesses can cooperate such as by forming an institution (which is based on contracts, vertical and horizontal organizations and partnerships) for governance in accessing resources (raw materials, information and markets, finance, technology, innovation and design,), and increasing economic scale to make them more competitive in the free market era.</w:t>
      </w:r>
    </w:p>
    <w:p w:rsidR="005A18C8" w:rsidRPr="000C7281" w:rsidRDefault="005A18C8" w:rsidP="005A18C8">
      <w:pPr>
        <w:spacing w:after="120"/>
        <w:ind w:firstLine="360"/>
        <w:jc w:val="both"/>
        <w:rPr>
          <w:sz w:val="22"/>
          <w:szCs w:val="22"/>
        </w:rPr>
      </w:pPr>
      <w:r w:rsidRPr="000C7281">
        <w:rPr>
          <w:sz w:val="22"/>
          <w:szCs w:val="22"/>
        </w:rPr>
        <w:t>4) Innovation Culture. G4 is a government policy to develop regional innovation activity by raising awareness through education and mass media. This policy is employed to improve the low culture of innovation and entrepreneurship in an area. Generally, rural areas are rich in local wisdom as a basis for sustainable development, but tend to be resistance of change. Whereas the environment changes dynamically, while natural resources in rural areas are increasingly limited.</w:t>
      </w:r>
    </w:p>
    <w:p w:rsidR="005A18C8" w:rsidRPr="000C7281" w:rsidRDefault="005A18C8" w:rsidP="005A18C8">
      <w:pPr>
        <w:spacing w:after="120"/>
        <w:ind w:firstLine="360"/>
        <w:jc w:val="both"/>
        <w:rPr>
          <w:sz w:val="22"/>
          <w:szCs w:val="22"/>
        </w:rPr>
      </w:pPr>
      <w:r w:rsidRPr="000C7281">
        <w:rPr>
          <w:sz w:val="22"/>
          <w:szCs w:val="22"/>
        </w:rPr>
        <w:t>Regional innovation system consists of a combination of 3 actors: university, industry and government known as the Triple Helix model of innovation (Figure 2). The underlying principle of the Triple Helix model of innovation (Figure 2) is based on the Seminary's contribution to the analysis of the role of innovation in the process of economic change (Saad and Zawdie, 2005: 96). In the model, the university, industry and government features as the principal institutional actors. The triple helix arises from the numerous institutional combinations are produced by networks of relations, communication and mutual exchange. These dynamics and complexities provide multitude of cooperation and competitive networks which generate operational climate where the institutions function (Marques et al., 2006L 541). Triple helix relations between the three primary parties (university, industry, government) far have been developed mainly as an institutional model for studying the knowledge infrastructure in networks of relations (for example Etzkowitz et al., 2000). From evolutionary perspective, the triple helices can be viewed dynamically as connections to the three sub-dynamics of a system (Leydesdorff, 2007; Leydesdorff and Etzkowitz, 1998; Leydesdorff et al., 2006: 183).</w:t>
      </w:r>
    </w:p>
    <w:p w:rsidR="005A18C8" w:rsidRPr="000C7281" w:rsidRDefault="005A18C8" w:rsidP="005A18C8">
      <w:pPr>
        <w:spacing w:after="120"/>
        <w:ind w:firstLine="360"/>
        <w:jc w:val="both"/>
        <w:rPr>
          <w:sz w:val="22"/>
          <w:szCs w:val="22"/>
        </w:rPr>
      </w:pPr>
    </w:p>
    <w:p w:rsidR="005A18C8" w:rsidRPr="000C7281" w:rsidRDefault="005A18C8" w:rsidP="005A18C8">
      <w:pPr>
        <w:ind w:firstLine="357"/>
        <w:jc w:val="both"/>
        <w:rPr>
          <w:sz w:val="22"/>
          <w:szCs w:val="22"/>
        </w:rPr>
      </w:pPr>
      <w:r w:rsidRPr="000C7281">
        <w:rPr>
          <w:rFonts w:cs="Arial"/>
          <w:noProof/>
          <w:szCs w:val="24"/>
        </w:rPr>
        <w:drawing>
          <wp:inline distT="0" distB="0" distL="0" distR="0">
            <wp:extent cx="3467100" cy="2533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67100" cy="2533650"/>
                    </a:xfrm>
                    <a:prstGeom prst="rect">
                      <a:avLst/>
                    </a:prstGeom>
                  </pic:spPr>
                </pic:pic>
              </a:graphicData>
            </a:graphic>
          </wp:inline>
        </w:drawing>
      </w:r>
    </w:p>
    <w:p w:rsidR="005A18C8" w:rsidRPr="000C7281" w:rsidRDefault="005A18C8" w:rsidP="005A18C8">
      <w:pPr>
        <w:ind w:firstLine="357"/>
        <w:jc w:val="both"/>
        <w:rPr>
          <w:sz w:val="22"/>
          <w:szCs w:val="22"/>
        </w:rPr>
      </w:pPr>
    </w:p>
    <w:p w:rsidR="005A18C8" w:rsidRPr="000C7281" w:rsidRDefault="005A18C8" w:rsidP="005A18C8">
      <w:pPr>
        <w:ind w:firstLine="357"/>
        <w:jc w:val="both"/>
        <w:rPr>
          <w:sz w:val="22"/>
          <w:szCs w:val="22"/>
        </w:rPr>
      </w:pPr>
      <w:r w:rsidRPr="000C7281">
        <w:rPr>
          <w:sz w:val="22"/>
          <w:szCs w:val="22"/>
        </w:rPr>
        <w:t>Figure 2. Triple Helix model of innovation</w:t>
      </w:r>
    </w:p>
    <w:p w:rsidR="005A18C8" w:rsidRPr="000C7281" w:rsidRDefault="005A18C8" w:rsidP="005A18C8">
      <w:pPr>
        <w:ind w:firstLine="357"/>
        <w:jc w:val="both"/>
        <w:rPr>
          <w:sz w:val="22"/>
          <w:szCs w:val="22"/>
        </w:rPr>
      </w:pPr>
      <w:r w:rsidRPr="000C7281">
        <w:rPr>
          <w:sz w:val="22"/>
          <w:szCs w:val="22"/>
        </w:rPr>
        <w:t>Source: Saad and Zawdie (2005: 95)</w:t>
      </w:r>
    </w:p>
    <w:p w:rsidR="005A18C8" w:rsidRPr="000C7281" w:rsidRDefault="005A18C8" w:rsidP="005A18C8">
      <w:pPr>
        <w:spacing w:after="120"/>
        <w:ind w:firstLine="360"/>
        <w:jc w:val="both"/>
        <w:rPr>
          <w:sz w:val="22"/>
          <w:szCs w:val="22"/>
        </w:rPr>
      </w:pPr>
    </w:p>
    <w:p w:rsidR="005A18C8" w:rsidRPr="000C7281" w:rsidRDefault="005A18C8" w:rsidP="005A18C8">
      <w:pPr>
        <w:spacing w:after="120"/>
        <w:ind w:firstLine="360"/>
        <w:jc w:val="both"/>
        <w:rPr>
          <w:sz w:val="22"/>
          <w:szCs w:val="22"/>
        </w:rPr>
      </w:pPr>
      <w:r w:rsidRPr="000C7281">
        <w:rPr>
          <w:sz w:val="22"/>
          <w:szCs w:val="22"/>
        </w:rPr>
        <w:t>Regarding industrial actors in rural areas, economic and industrial actors in rural areas generally have limited economic scale. Institution increases the economic scale of small businesses in villages to be more competitive at the market. The idea of economic institution is not opposed to the neoclassical school, or the free-market economy; instead, it complements the later one. According to Bardhan (1989), the NIE places itself as a builder of non-market institution with the foundation of neoclassical economic theory.</w:t>
      </w:r>
    </w:p>
    <w:p w:rsidR="005A18C8" w:rsidRPr="000C7281" w:rsidRDefault="005A18C8" w:rsidP="005A18C8">
      <w:pPr>
        <w:spacing w:after="120"/>
        <w:ind w:firstLine="360"/>
        <w:jc w:val="both"/>
        <w:rPr>
          <w:sz w:val="22"/>
          <w:szCs w:val="22"/>
        </w:rPr>
      </w:pPr>
      <w:r w:rsidRPr="000C7281">
        <w:rPr>
          <w:sz w:val="22"/>
          <w:szCs w:val="22"/>
        </w:rPr>
        <w:t>According to Royer et al. (2016), institutional constraint encourages collective action to coordinate and cooperate on problem solving. Kydd and Dorward (2004) argue that action is needed not only through market mechanisms; instead, it should also be done especially in rural areas, through institutional arrangements. Royer et al. (2016) describe several institutional strategies such as through contracts, producer organizations and partnerships. They have been used in the practice of strengthening farmer / rural institution. Each of these arrangements can reduce institutional constraints by forming a market network (e.g. connecting buyers and producers, assisting in negotiations, providing information on quality requirements and access to innovation), preparing training and technical assistance, supporting institutional development, and certification.</w:t>
      </w:r>
    </w:p>
    <w:p w:rsidR="005A18C8" w:rsidRPr="000C7281" w:rsidRDefault="005A18C8" w:rsidP="005A18C8">
      <w:pPr>
        <w:spacing w:after="120"/>
        <w:ind w:firstLine="360"/>
        <w:jc w:val="both"/>
        <w:rPr>
          <w:sz w:val="22"/>
          <w:szCs w:val="22"/>
        </w:rPr>
      </w:pPr>
      <w:r w:rsidRPr="000C7281">
        <w:rPr>
          <w:sz w:val="22"/>
          <w:szCs w:val="22"/>
        </w:rPr>
        <w:t>In terms of infrastructure, the development of information technology and internet encourages integrated knowledge. Based on institutional economic theory (Coase, 1937), knowledge management infrastructure lowers transaction costs and increases the economy of small-scale businesses towards access to resources. Knowledge Management is developed from Knowledge Based View (KBV) (Grant, 1996). It focuses on aspects of intellectual resources as a basic strategy for the long-term-organizational-competitive-advantage source and the short-term performance. On the basis of KBV, organizations use Management and Knowledge Management as a strategy to improve performance in the short and long term.</w:t>
      </w:r>
    </w:p>
    <w:p w:rsidR="00D73172" w:rsidRPr="000C7281" w:rsidRDefault="005A18C8" w:rsidP="005A18C8">
      <w:pPr>
        <w:spacing w:after="120"/>
        <w:ind w:firstLine="360"/>
        <w:jc w:val="both"/>
        <w:rPr>
          <w:sz w:val="22"/>
          <w:szCs w:val="22"/>
        </w:rPr>
      </w:pPr>
      <w:r w:rsidRPr="000C7281">
        <w:rPr>
          <w:sz w:val="22"/>
          <w:szCs w:val="22"/>
        </w:rPr>
        <w:t>Furthermore, it can be explained that the environment of most organizations is more complex and dynamic. Competition becomes higher, stakeholder expectations increase, whereas there is little time to develop and market new products and services before they get outmoded. All organizations learn many things, but some do it much better than others. The concept of integration refers to ''procedures between organizations and cross-functional'', which concentrates on two aspects: interaction and collaboration. Interaction focuses on the exchange and use of communication between functional units, while collaboration emphasizes collective work on various departments (Grant, 1996b: 376-382). Grant (1996a, 1996b) states that the ability to integrate knowledge of corporation can be determined by two important mechanisms: referrals and organization routines (Grant, 1996b: 377). Aldakhil (2015: 3) conceptualizes the integration of knowledge as an activity of gathering, processing variety of knowledge to do specific activities and solving problems. Furthermore, he (2015: 3) also explains that knowledge integration is a process to gain knowledge across organizational boundaries, then share, assimilate, and apply it to improve operational performance. According to Hakanson (2005: 4), knowledge integration is part of knowledge management. Governance itself is broader than management because it involves the stakeholders and organizational management objectives.</w:t>
      </w:r>
    </w:p>
    <w:p w:rsidR="005A18C8" w:rsidRPr="000C7281" w:rsidRDefault="005A18C8" w:rsidP="005A18C8">
      <w:pPr>
        <w:spacing w:after="120"/>
        <w:ind w:firstLine="360"/>
        <w:jc w:val="both"/>
        <w:rPr>
          <w:sz w:val="22"/>
          <w:szCs w:val="22"/>
        </w:rPr>
      </w:pPr>
    </w:p>
    <w:p w:rsidR="006459CF" w:rsidRPr="000C7281" w:rsidRDefault="00C42E54" w:rsidP="00C42E54">
      <w:pPr>
        <w:pStyle w:val="Heading1"/>
        <w:numPr>
          <w:ilvl w:val="0"/>
          <w:numId w:val="2"/>
        </w:numPr>
        <w:suppressAutoHyphens/>
        <w:spacing w:after="60"/>
        <w:ind w:left="270" w:hanging="270"/>
        <w:rPr>
          <w:i w:val="0"/>
          <w:sz w:val="22"/>
          <w:szCs w:val="22"/>
        </w:rPr>
      </w:pPr>
      <w:r w:rsidRPr="000C7281">
        <w:rPr>
          <w:i w:val="0"/>
          <w:sz w:val="22"/>
          <w:szCs w:val="22"/>
        </w:rPr>
        <w:lastRenderedPageBreak/>
        <w:t>RESEARCH METHOD</w:t>
      </w:r>
    </w:p>
    <w:p w:rsidR="005A18C8" w:rsidRPr="000C7281" w:rsidRDefault="005A18C8" w:rsidP="005A18C8">
      <w:pPr>
        <w:ind w:firstLine="567"/>
        <w:jc w:val="both"/>
        <w:rPr>
          <w:sz w:val="22"/>
          <w:szCs w:val="22"/>
        </w:rPr>
      </w:pPr>
      <w:r w:rsidRPr="000C7281">
        <w:rPr>
          <w:sz w:val="22"/>
          <w:szCs w:val="22"/>
        </w:rPr>
        <w:t xml:space="preserve">This research was conducted on economic institutions in rural areas in Semarang Regency, Central Java, Indonesia. Semarang Regency is one of the regions in Central Java Province of Indonesia, with economic growth supported by leading agricultural sectors, processing industries and services. Most of the population (73%) lives from agricultural sector and industrial SMEs in rural areas. Economic institution in rural areas includes </w:t>
      </w:r>
      <w:r w:rsidRPr="000C7281">
        <w:rPr>
          <w:i/>
          <w:sz w:val="22"/>
          <w:szCs w:val="22"/>
        </w:rPr>
        <w:t>Bumdes</w:t>
      </w:r>
      <w:r w:rsidRPr="000C7281">
        <w:rPr>
          <w:sz w:val="22"/>
          <w:szCs w:val="22"/>
        </w:rPr>
        <w:t xml:space="preserve">, </w:t>
      </w:r>
      <w:r w:rsidRPr="000C7281">
        <w:rPr>
          <w:i/>
          <w:sz w:val="22"/>
          <w:szCs w:val="22"/>
        </w:rPr>
        <w:t>Gapoktan PUAP</w:t>
      </w:r>
      <w:r w:rsidRPr="000C7281">
        <w:rPr>
          <w:sz w:val="22"/>
          <w:szCs w:val="22"/>
        </w:rPr>
        <w:t xml:space="preserve"> and Agricultural Cooperatives. Primary data were collected through direct interviews with respondents based on a list of prepared questions. Meanwhile, secondary data were obtained from the literature, institutions, and agencies related to this research. Structured and in-depth interviews were also conducted with the respondents i.e. institutional managers of </w:t>
      </w:r>
      <w:r w:rsidRPr="000C7281">
        <w:rPr>
          <w:i/>
          <w:sz w:val="22"/>
          <w:szCs w:val="22"/>
        </w:rPr>
        <w:t>Bumdes, PUAP Gapoktan</w:t>
      </w:r>
      <w:r w:rsidRPr="000C7281">
        <w:rPr>
          <w:sz w:val="22"/>
          <w:szCs w:val="22"/>
        </w:rPr>
        <w:t xml:space="preserve"> and Agricultural Cooperatives.</w:t>
      </w:r>
    </w:p>
    <w:p w:rsidR="005A18C8" w:rsidRPr="000C7281" w:rsidRDefault="005A18C8" w:rsidP="005A18C8">
      <w:pPr>
        <w:rPr>
          <w:sz w:val="22"/>
          <w:szCs w:val="22"/>
        </w:rPr>
      </w:pPr>
    </w:p>
    <w:p w:rsidR="005A18C8" w:rsidRPr="000C7281" w:rsidRDefault="005A18C8" w:rsidP="005A18C8">
      <w:pPr>
        <w:rPr>
          <w:sz w:val="22"/>
          <w:szCs w:val="22"/>
        </w:rPr>
      </w:pPr>
    </w:p>
    <w:p w:rsidR="005A18C8" w:rsidRPr="000C7281" w:rsidRDefault="005A18C8" w:rsidP="005A18C8">
      <w:pPr>
        <w:shd w:val="clear" w:color="auto" w:fill="FFFFFF"/>
        <w:autoSpaceDE w:val="0"/>
        <w:autoSpaceDN w:val="0"/>
        <w:adjustRightInd w:val="0"/>
        <w:rPr>
          <w:i/>
          <w:sz w:val="22"/>
          <w:szCs w:val="22"/>
        </w:rPr>
      </w:pPr>
      <w:r w:rsidRPr="000C7281">
        <w:rPr>
          <w:i/>
          <w:sz w:val="22"/>
          <w:szCs w:val="22"/>
          <w:lang w:val="en-GB"/>
        </w:rPr>
        <w:t xml:space="preserve">Table </w:t>
      </w:r>
      <w:r w:rsidRPr="000C7281">
        <w:rPr>
          <w:i/>
          <w:sz w:val="22"/>
          <w:szCs w:val="22"/>
        </w:rPr>
        <w:t xml:space="preserve">1: </w:t>
      </w:r>
      <w:r w:rsidRPr="000C7281">
        <w:rPr>
          <w:i/>
          <w:sz w:val="22"/>
          <w:szCs w:val="22"/>
          <w:lang w:val="en-GB"/>
        </w:rPr>
        <w:t>Variable and Operational Definition</w:t>
      </w:r>
    </w:p>
    <w:tbl>
      <w:tblPr>
        <w:tblW w:w="8723" w:type="dxa"/>
        <w:tblLook w:val="04A0"/>
      </w:tblPr>
      <w:tblGrid>
        <w:gridCol w:w="2127"/>
        <w:gridCol w:w="4536"/>
        <w:gridCol w:w="2060"/>
      </w:tblGrid>
      <w:tr w:rsidR="000C7281" w:rsidRPr="000C7281" w:rsidTr="005A18C8">
        <w:trPr>
          <w:trHeight w:val="57"/>
        </w:trPr>
        <w:tc>
          <w:tcPr>
            <w:tcW w:w="2127" w:type="dxa"/>
            <w:tcBorders>
              <w:top w:val="single" w:sz="8" w:space="0" w:color="auto"/>
              <w:left w:val="nil"/>
              <w:bottom w:val="single" w:sz="8" w:space="0" w:color="auto"/>
              <w:right w:val="nil"/>
            </w:tcBorders>
            <w:hideMark/>
          </w:tcPr>
          <w:p w:rsidR="005A18C8" w:rsidRPr="000C7281" w:rsidRDefault="005A18C8" w:rsidP="00F81D72">
            <w:pPr>
              <w:rPr>
                <w:b/>
                <w:bCs/>
                <w:sz w:val="20"/>
                <w:lang w:val="id-ID" w:eastAsia="id-ID"/>
              </w:rPr>
            </w:pPr>
            <w:r w:rsidRPr="000C7281">
              <w:rPr>
                <w:b/>
                <w:bCs/>
                <w:sz w:val="20"/>
                <w:lang w:val="id-ID" w:eastAsia="id-ID"/>
              </w:rPr>
              <w:t xml:space="preserve">Variables </w:t>
            </w:r>
          </w:p>
        </w:tc>
        <w:tc>
          <w:tcPr>
            <w:tcW w:w="4536" w:type="dxa"/>
            <w:tcBorders>
              <w:top w:val="single" w:sz="8" w:space="0" w:color="auto"/>
              <w:left w:val="nil"/>
              <w:bottom w:val="single" w:sz="8" w:space="0" w:color="auto"/>
              <w:right w:val="nil"/>
            </w:tcBorders>
            <w:noWrap/>
            <w:vAlign w:val="center"/>
            <w:hideMark/>
          </w:tcPr>
          <w:p w:rsidR="005A18C8" w:rsidRPr="000C7281" w:rsidRDefault="005A18C8" w:rsidP="00F81D72">
            <w:pPr>
              <w:rPr>
                <w:b/>
                <w:bCs/>
                <w:sz w:val="20"/>
                <w:lang w:eastAsia="id-ID"/>
              </w:rPr>
            </w:pPr>
            <w:r w:rsidRPr="000C7281">
              <w:rPr>
                <w:b/>
                <w:bCs/>
                <w:sz w:val="20"/>
                <w:lang w:val="id-ID" w:eastAsia="id-ID"/>
              </w:rPr>
              <w:t>Indi</w:t>
            </w:r>
            <w:r w:rsidRPr="000C7281">
              <w:rPr>
                <w:b/>
                <w:bCs/>
                <w:sz w:val="20"/>
                <w:lang w:eastAsia="id-ID"/>
              </w:rPr>
              <w:t>c</w:t>
            </w:r>
            <w:r w:rsidRPr="000C7281">
              <w:rPr>
                <w:b/>
                <w:bCs/>
                <w:sz w:val="20"/>
                <w:lang w:val="id-ID" w:eastAsia="id-ID"/>
              </w:rPr>
              <w:t>ator</w:t>
            </w:r>
            <w:r w:rsidRPr="000C7281">
              <w:rPr>
                <w:b/>
                <w:bCs/>
                <w:sz w:val="20"/>
                <w:lang w:eastAsia="id-ID"/>
              </w:rPr>
              <w:t>s</w:t>
            </w:r>
          </w:p>
        </w:tc>
        <w:tc>
          <w:tcPr>
            <w:tcW w:w="2060" w:type="dxa"/>
            <w:tcBorders>
              <w:top w:val="single" w:sz="8" w:space="0" w:color="auto"/>
              <w:left w:val="nil"/>
              <w:bottom w:val="single" w:sz="8" w:space="0" w:color="auto"/>
              <w:right w:val="nil"/>
            </w:tcBorders>
            <w:noWrap/>
            <w:vAlign w:val="center"/>
            <w:hideMark/>
          </w:tcPr>
          <w:p w:rsidR="005A18C8" w:rsidRPr="000C7281" w:rsidRDefault="005A18C8" w:rsidP="00F81D72">
            <w:pPr>
              <w:rPr>
                <w:b/>
                <w:bCs/>
                <w:sz w:val="20"/>
                <w:lang w:val="id-ID" w:eastAsia="id-ID"/>
              </w:rPr>
            </w:pPr>
            <w:r w:rsidRPr="000C7281">
              <w:rPr>
                <w:b/>
                <w:bCs/>
                <w:sz w:val="20"/>
                <w:lang w:val="id-ID" w:eastAsia="id-ID"/>
              </w:rPr>
              <w:t>Scale</w:t>
            </w:r>
          </w:p>
        </w:tc>
      </w:tr>
      <w:tr w:rsidR="000C7281" w:rsidRPr="000C7281" w:rsidTr="005A18C8">
        <w:trPr>
          <w:trHeight w:val="57"/>
        </w:trPr>
        <w:tc>
          <w:tcPr>
            <w:tcW w:w="2127" w:type="dxa"/>
            <w:tcBorders>
              <w:top w:val="nil"/>
              <w:left w:val="nil"/>
              <w:bottom w:val="single" w:sz="4" w:space="0" w:color="auto"/>
              <w:right w:val="nil"/>
            </w:tcBorders>
            <w:hideMark/>
          </w:tcPr>
          <w:p w:rsidR="005A18C8" w:rsidRPr="000C7281" w:rsidRDefault="005A18C8" w:rsidP="00F81D72">
            <w:pPr>
              <w:rPr>
                <w:b/>
                <w:bCs/>
                <w:sz w:val="20"/>
                <w:lang w:val="id-ID" w:eastAsia="id-ID"/>
              </w:rPr>
            </w:pPr>
            <w:r w:rsidRPr="000C7281">
              <w:rPr>
                <w:b/>
                <w:sz w:val="20"/>
                <w:lang/>
              </w:rPr>
              <w:t xml:space="preserve">Institutional Performance </w:t>
            </w:r>
            <w:r w:rsidRPr="000C7281">
              <w:rPr>
                <w:b/>
                <w:bCs/>
                <w:sz w:val="20"/>
                <w:lang w:val="id-ID" w:eastAsia="id-ID"/>
              </w:rPr>
              <w:t xml:space="preserve"> (Y)</w:t>
            </w:r>
          </w:p>
        </w:tc>
        <w:tc>
          <w:tcPr>
            <w:tcW w:w="4536" w:type="dxa"/>
            <w:tcBorders>
              <w:top w:val="nil"/>
              <w:left w:val="nil"/>
              <w:bottom w:val="single" w:sz="4" w:space="0" w:color="auto"/>
              <w:right w:val="nil"/>
            </w:tcBorders>
            <w:noWrap/>
            <w:vAlign w:val="center"/>
            <w:hideMark/>
          </w:tcPr>
          <w:p w:rsidR="005A18C8" w:rsidRPr="000C7281" w:rsidRDefault="005A18C8" w:rsidP="00F81D72">
            <w:pPr>
              <w:ind w:firstLineChars="100" w:firstLine="200"/>
              <w:rPr>
                <w:sz w:val="20"/>
                <w:lang w:val="id-ID" w:eastAsia="id-ID"/>
              </w:rPr>
            </w:pPr>
            <w:r w:rsidRPr="000C7281">
              <w:rPr>
                <w:sz w:val="20"/>
                <w:lang w:eastAsia="id-ID"/>
              </w:rPr>
              <w:t>Asset accumulation</w:t>
            </w:r>
            <w:r w:rsidRPr="000C7281">
              <w:rPr>
                <w:sz w:val="20"/>
                <w:lang w:val="id-ID" w:eastAsia="id-ID"/>
              </w:rPr>
              <w:t xml:space="preserve"> (%)</w:t>
            </w:r>
          </w:p>
        </w:tc>
        <w:tc>
          <w:tcPr>
            <w:tcW w:w="2060" w:type="dxa"/>
            <w:tcBorders>
              <w:top w:val="nil"/>
              <w:left w:val="nil"/>
              <w:bottom w:val="single" w:sz="4" w:space="0" w:color="auto"/>
              <w:right w:val="nil"/>
            </w:tcBorders>
            <w:noWrap/>
            <w:vAlign w:val="center"/>
            <w:hideMark/>
          </w:tcPr>
          <w:p w:rsidR="005A18C8" w:rsidRPr="000C7281" w:rsidRDefault="005A18C8" w:rsidP="00F81D72">
            <w:pPr>
              <w:ind w:firstLineChars="100" w:firstLine="200"/>
              <w:rPr>
                <w:sz w:val="20"/>
                <w:lang w:val="id-ID" w:eastAsia="id-ID"/>
              </w:rPr>
            </w:pPr>
            <w:r w:rsidRPr="000C7281">
              <w:rPr>
                <w:sz w:val="20"/>
                <w:lang w:val="id-ID" w:eastAsia="id-ID"/>
              </w:rPr>
              <w:t>Continum  (%)</w:t>
            </w:r>
          </w:p>
        </w:tc>
      </w:tr>
      <w:tr w:rsidR="000C7281" w:rsidRPr="000C7281" w:rsidTr="005A18C8">
        <w:trPr>
          <w:trHeight w:val="57"/>
        </w:trPr>
        <w:tc>
          <w:tcPr>
            <w:tcW w:w="2127" w:type="dxa"/>
            <w:vMerge w:val="restart"/>
            <w:tcBorders>
              <w:top w:val="nil"/>
              <w:left w:val="nil"/>
              <w:bottom w:val="single" w:sz="4" w:space="0" w:color="000000"/>
              <w:right w:val="nil"/>
            </w:tcBorders>
            <w:hideMark/>
          </w:tcPr>
          <w:p w:rsidR="005A18C8" w:rsidRPr="000C7281" w:rsidRDefault="005A18C8" w:rsidP="00F81D72">
            <w:pPr>
              <w:rPr>
                <w:b/>
                <w:bCs/>
                <w:sz w:val="20"/>
                <w:lang w:val="id-ID" w:eastAsia="id-ID"/>
              </w:rPr>
            </w:pPr>
            <w:r w:rsidRPr="000C7281">
              <w:rPr>
                <w:b/>
                <w:bCs/>
                <w:sz w:val="20"/>
                <w:lang w:val="id-ID" w:eastAsia="id-ID"/>
              </w:rPr>
              <w:t xml:space="preserve"> In</w:t>
            </w:r>
            <w:r w:rsidRPr="000C7281">
              <w:rPr>
                <w:b/>
                <w:bCs/>
                <w:sz w:val="20"/>
                <w:lang w:eastAsia="id-ID"/>
              </w:rPr>
              <w:t>n</w:t>
            </w:r>
            <w:r w:rsidRPr="000C7281">
              <w:rPr>
                <w:b/>
                <w:bCs/>
                <w:sz w:val="20"/>
                <w:lang w:val="id-ID" w:eastAsia="id-ID"/>
              </w:rPr>
              <w:t>ov</w:t>
            </w:r>
            <w:r w:rsidRPr="000C7281">
              <w:rPr>
                <w:b/>
                <w:bCs/>
                <w:sz w:val="20"/>
                <w:lang w:eastAsia="id-ID"/>
              </w:rPr>
              <w:t>ation Capacity</w:t>
            </w:r>
            <w:r w:rsidRPr="000C7281">
              <w:rPr>
                <w:b/>
                <w:bCs/>
                <w:sz w:val="20"/>
                <w:lang w:val="id-ID" w:eastAsia="id-ID"/>
              </w:rPr>
              <w:t xml:space="preserve"> (INOV)</w:t>
            </w:r>
          </w:p>
        </w:tc>
        <w:tc>
          <w:tcPr>
            <w:tcW w:w="4536" w:type="dxa"/>
            <w:noWrap/>
            <w:vAlign w:val="center"/>
            <w:hideMark/>
          </w:tcPr>
          <w:p w:rsidR="005A18C8" w:rsidRPr="000C7281" w:rsidRDefault="005A18C8" w:rsidP="005A18C8">
            <w:pPr>
              <w:pStyle w:val="ListParagraph"/>
              <w:numPr>
                <w:ilvl w:val="0"/>
                <w:numId w:val="6"/>
              </w:numPr>
              <w:ind w:left="318" w:hanging="219"/>
              <w:contextualSpacing w:val="0"/>
              <w:rPr>
                <w:sz w:val="20"/>
                <w:lang w:val="id-ID" w:eastAsia="id-ID"/>
              </w:rPr>
            </w:pPr>
            <w:r w:rsidRPr="000C7281">
              <w:rPr>
                <w:sz w:val="20"/>
                <w:lang w:eastAsia="id-ID"/>
              </w:rPr>
              <w:t>Product and service innovation</w:t>
            </w:r>
          </w:p>
        </w:tc>
        <w:tc>
          <w:tcPr>
            <w:tcW w:w="2060" w:type="dxa"/>
            <w:vMerge w:val="restart"/>
            <w:noWrap/>
            <w:vAlign w:val="center"/>
            <w:hideMark/>
          </w:tcPr>
          <w:p w:rsidR="005A18C8" w:rsidRPr="000C7281" w:rsidRDefault="005A18C8" w:rsidP="0073454B">
            <w:pPr>
              <w:rPr>
                <w:sz w:val="20"/>
                <w:lang w:val="id-ID" w:eastAsia="id-ID"/>
              </w:rPr>
            </w:pPr>
            <w:r w:rsidRPr="000C7281">
              <w:rPr>
                <w:sz w:val="20"/>
                <w:lang w:val="id-ID" w:eastAsia="id-ID"/>
              </w:rPr>
              <w:t>(1 = not available, 2 = available, 3 = high available) </w:t>
            </w:r>
          </w:p>
        </w:tc>
      </w:tr>
      <w:tr w:rsidR="000C7281" w:rsidRPr="000C7281" w:rsidTr="005A18C8">
        <w:trPr>
          <w:trHeight w:val="57"/>
        </w:trPr>
        <w:tc>
          <w:tcPr>
            <w:tcW w:w="2127" w:type="dxa"/>
            <w:vMerge/>
            <w:tcBorders>
              <w:top w:val="nil"/>
              <w:left w:val="nil"/>
              <w:bottom w:val="single" w:sz="4" w:space="0" w:color="000000"/>
              <w:right w:val="nil"/>
            </w:tcBorders>
            <w:vAlign w:val="center"/>
            <w:hideMark/>
          </w:tcPr>
          <w:p w:rsidR="005A18C8" w:rsidRPr="000C7281" w:rsidRDefault="005A18C8" w:rsidP="00F81D72">
            <w:pPr>
              <w:rPr>
                <w:b/>
                <w:bCs/>
                <w:sz w:val="20"/>
                <w:lang w:val="id-ID" w:eastAsia="id-ID"/>
              </w:rPr>
            </w:pPr>
          </w:p>
        </w:tc>
        <w:tc>
          <w:tcPr>
            <w:tcW w:w="4536" w:type="dxa"/>
            <w:tcBorders>
              <w:top w:val="nil"/>
              <w:left w:val="nil"/>
              <w:bottom w:val="single" w:sz="4" w:space="0" w:color="auto"/>
            </w:tcBorders>
            <w:noWrap/>
            <w:vAlign w:val="center"/>
            <w:hideMark/>
          </w:tcPr>
          <w:p w:rsidR="005A18C8" w:rsidRPr="000C7281" w:rsidRDefault="005A18C8" w:rsidP="005A18C8">
            <w:pPr>
              <w:pStyle w:val="ListParagraph"/>
              <w:numPr>
                <w:ilvl w:val="0"/>
                <w:numId w:val="6"/>
              </w:numPr>
              <w:ind w:left="318" w:hanging="219"/>
              <w:contextualSpacing w:val="0"/>
              <w:rPr>
                <w:sz w:val="20"/>
                <w:lang w:val="id-ID" w:eastAsia="id-ID"/>
              </w:rPr>
            </w:pPr>
            <w:r w:rsidRPr="000C7281">
              <w:rPr>
                <w:sz w:val="20"/>
                <w:lang w:val="id-ID" w:eastAsia="id-ID"/>
              </w:rPr>
              <w:t xml:space="preserve">Process innovations </w:t>
            </w:r>
          </w:p>
        </w:tc>
        <w:tc>
          <w:tcPr>
            <w:tcW w:w="2060" w:type="dxa"/>
            <w:vMerge/>
            <w:tcBorders>
              <w:bottom w:val="single" w:sz="4" w:space="0" w:color="auto"/>
            </w:tcBorders>
            <w:noWrap/>
            <w:vAlign w:val="center"/>
            <w:hideMark/>
          </w:tcPr>
          <w:p w:rsidR="005A18C8" w:rsidRPr="000C7281" w:rsidRDefault="005A18C8" w:rsidP="00F81D72">
            <w:pPr>
              <w:ind w:firstLineChars="100" w:firstLine="200"/>
              <w:rPr>
                <w:sz w:val="20"/>
                <w:lang w:val="id-ID" w:eastAsia="id-ID"/>
              </w:rPr>
            </w:pPr>
          </w:p>
        </w:tc>
      </w:tr>
      <w:tr w:rsidR="000C7281" w:rsidRPr="000C7281" w:rsidTr="005A18C8">
        <w:trPr>
          <w:trHeight w:val="57"/>
        </w:trPr>
        <w:tc>
          <w:tcPr>
            <w:tcW w:w="2127" w:type="dxa"/>
            <w:vMerge w:val="restart"/>
            <w:tcBorders>
              <w:top w:val="nil"/>
              <w:left w:val="nil"/>
              <w:bottom w:val="single" w:sz="4" w:space="0" w:color="000000"/>
              <w:right w:val="nil"/>
            </w:tcBorders>
            <w:hideMark/>
          </w:tcPr>
          <w:p w:rsidR="005A18C8" w:rsidRPr="000C7281" w:rsidRDefault="005A18C8" w:rsidP="00F81D72">
            <w:pPr>
              <w:rPr>
                <w:b/>
                <w:bCs/>
                <w:sz w:val="20"/>
                <w:lang w:val="id-ID" w:eastAsia="id-ID"/>
              </w:rPr>
            </w:pPr>
            <w:r w:rsidRPr="000C7281">
              <w:rPr>
                <w:b/>
                <w:bCs/>
                <w:sz w:val="20"/>
                <w:lang w:eastAsia="id-ID"/>
              </w:rPr>
              <w:t>Policy and Regulation</w:t>
            </w:r>
            <w:r w:rsidRPr="000C7281">
              <w:rPr>
                <w:b/>
                <w:bCs/>
                <w:sz w:val="20"/>
                <w:lang w:val="id-ID" w:eastAsia="id-ID"/>
              </w:rPr>
              <w:t xml:space="preserve"> (REG)</w:t>
            </w:r>
          </w:p>
        </w:tc>
        <w:tc>
          <w:tcPr>
            <w:tcW w:w="4536" w:type="dxa"/>
            <w:noWrap/>
            <w:vAlign w:val="center"/>
            <w:hideMark/>
          </w:tcPr>
          <w:p w:rsidR="005A18C8" w:rsidRPr="000C7281" w:rsidRDefault="005A18C8" w:rsidP="005A18C8">
            <w:pPr>
              <w:pStyle w:val="ListParagraph"/>
              <w:numPr>
                <w:ilvl w:val="0"/>
                <w:numId w:val="7"/>
              </w:numPr>
              <w:ind w:left="318" w:hanging="219"/>
              <w:contextualSpacing w:val="0"/>
              <w:rPr>
                <w:sz w:val="20"/>
                <w:lang w:val="id-ID" w:eastAsia="id-ID"/>
              </w:rPr>
            </w:pPr>
            <w:r w:rsidRPr="000C7281">
              <w:rPr>
                <w:sz w:val="20"/>
                <w:lang w:eastAsia="id-ID"/>
              </w:rPr>
              <w:t>Fiscal incentives</w:t>
            </w:r>
          </w:p>
        </w:tc>
        <w:tc>
          <w:tcPr>
            <w:tcW w:w="2060" w:type="dxa"/>
            <w:vMerge w:val="restart"/>
            <w:noWrap/>
            <w:vAlign w:val="center"/>
            <w:hideMark/>
          </w:tcPr>
          <w:p w:rsidR="005A18C8" w:rsidRPr="000C7281" w:rsidRDefault="005A18C8" w:rsidP="0073454B">
            <w:pPr>
              <w:ind w:firstLine="34"/>
              <w:rPr>
                <w:sz w:val="20"/>
                <w:lang w:val="id-ID" w:eastAsia="id-ID"/>
              </w:rPr>
            </w:pPr>
            <w:r w:rsidRPr="000C7281">
              <w:rPr>
                <w:sz w:val="20"/>
                <w:lang w:val="id-ID" w:eastAsia="id-ID"/>
              </w:rPr>
              <w:t>(1 = not support, 2 = support, 3 = high support)</w:t>
            </w:r>
          </w:p>
        </w:tc>
      </w:tr>
      <w:tr w:rsidR="000C7281" w:rsidRPr="000C7281" w:rsidTr="005A18C8">
        <w:trPr>
          <w:trHeight w:val="57"/>
        </w:trPr>
        <w:tc>
          <w:tcPr>
            <w:tcW w:w="2127" w:type="dxa"/>
            <w:vMerge/>
            <w:tcBorders>
              <w:top w:val="nil"/>
              <w:left w:val="nil"/>
              <w:bottom w:val="single" w:sz="4" w:space="0" w:color="000000"/>
              <w:right w:val="nil"/>
            </w:tcBorders>
            <w:vAlign w:val="center"/>
            <w:hideMark/>
          </w:tcPr>
          <w:p w:rsidR="005A18C8" w:rsidRPr="000C7281" w:rsidRDefault="005A18C8" w:rsidP="00F81D72">
            <w:pPr>
              <w:rPr>
                <w:b/>
                <w:bCs/>
                <w:sz w:val="20"/>
                <w:lang w:val="id-ID" w:eastAsia="id-ID"/>
              </w:rPr>
            </w:pPr>
          </w:p>
        </w:tc>
        <w:tc>
          <w:tcPr>
            <w:tcW w:w="4536" w:type="dxa"/>
            <w:noWrap/>
            <w:vAlign w:val="center"/>
            <w:hideMark/>
          </w:tcPr>
          <w:p w:rsidR="005A18C8" w:rsidRPr="000C7281" w:rsidRDefault="005A18C8" w:rsidP="005A18C8">
            <w:pPr>
              <w:pStyle w:val="ListParagraph"/>
              <w:numPr>
                <w:ilvl w:val="0"/>
                <w:numId w:val="7"/>
              </w:numPr>
              <w:ind w:left="318" w:hanging="219"/>
              <w:contextualSpacing w:val="0"/>
              <w:rPr>
                <w:sz w:val="20"/>
                <w:lang w:val="id-ID" w:eastAsia="id-ID"/>
              </w:rPr>
            </w:pPr>
            <w:r w:rsidRPr="000C7281">
              <w:rPr>
                <w:sz w:val="20"/>
                <w:lang w:val="id-ID" w:eastAsia="id-ID"/>
              </w:rPr>
              <w:t>Property Right</w:t>
            </w:r>
            <w:r w:rsidRPr="000C7281">
              <w:rPr>
                <w:sz w:val="20"/>
                <w:lang w:eastAsia="id-ID"/>
              </w:rPr>
              <w:t xml:space="preserve"> Protection policy</w:t>
            </w:r>
          </w:p>
        </w:tc>
        <w:tc>
          <w:tcPr>
            <w:tcW w:w="2060" w:type="dxa"/>
            <w:vMerge/>
            <w:noWrap/>
            <w:vAlign w:val="center"/>
            <w:hideMark/>
          </w:tcPr>
          <w:p w:rsidR="005A18C8" w:rsidRPr="000C7281" w:rsidRDefault="005A18C8" w:rsidP="00F81D72">
            <w:pPr>
              <w:ind w:firstLineChars="100" w:firstLine="200"/>
              <w:rPr>
                <w:sz w:val="20"/>
                <w:lang w:val="id-ID" w:eastAsia="id-ID"/>
              </w:rPr>
            </w:pPr>
          </w:p>
        </w:tc>
      </w:tr>
      <w:tr w:rsidR="000C7281" w:rsidRPr="000C7281" w:rsidTr="005A18C8">
        <w:trPr>
          <w:trHeight w:val="57"/>
        </w:trPr>
        <w:tc>
          <w:tcPr>
            <w:tcW w:w="2127" w:type="dxa"/>
            <w:vMerge/>
            <w:tcBorders>
              <w:top w:val="nil"/>
              <w:left w:val="nil"/>
              <w:bottom w:val="single" w:sz="4" w:space="0" w:color="000000"/>
              <w:right w:val="nil"/>
            </w:tcBorders>
            <w:vAlign w:val="center"/>
            <w:hideMark/>
          </w:tcPr>
          <w:p w:rsidR="005A18C8" w:rsidRPr="000C7281" w:rsidRDefault="005A18C8" w:rsidP="00F81D72">
            <w:pPr>
              <w:rPr>
                <w:b/>
                <w:bCs/>
                <w:sz w:val="20"/>
                <w:lang w:val="id-ID" w:eastAsia="id-ID"/>
              </w:rPr>
            </w:pPr>
          </w:p>
        </w:tc>
        <w:tc>
          <w:tcPr>
            <w:tcW w:w="4536" w:type="dxa"/>
            <w:tcBorders>
              <w:top w:val="nil"/>
              <w:left w:val="nil"/>
              <w:bottom w:val="single" w:sz="4" w:space="0" w:color="auto"/>
            </w:tcBorders>
            <w:noWrap/>
            <w:vAlign w:val="center"/>
            <w:hideMark/>
          </w:tcPr>
          <w:p w:rsidR="005A18C8" w:rsidRPr="000C7281" w:rsidRDefault="005A18C8" w:rsidP="005A18C8">
            <w:pPr>
              <w:pStyle w:val="ListParagraph"/>
              <w:numPr>
                <w:ilvl w:val="0"/>
                <w:numId w:val="7"/>
              </w:numPr>
              <w:ind w:left="318" w:hanging="219"/>
              <w:contextualSpacing w:val="0"/>
              <w:rPr>
                <w:sz w:val="20"/>
                <w:lang w:val="id-ID" w:eastAsia="id-ID"/>
              </w:rPr>
            </w:pPr>
            <w:r w:rsidRPr="000C7281">
              <w:rPr>
                <w:sz w:val="20"/>
                <w:lang w:eastAsia="id-ID"/>
              </w:rPr>
              <w:t>Warranty of healthy business competition</w:t>
            </w:r>
          </w:p>
        </w:tc>
        <w:tc>
          <w:tcPr>
            <w:tcW w:w="2060" w:type="dxa"/>
            <w:vMerge/>
            <w:tcBorders>
              <w:bottom w:val="single" w:sz="4" w:space="0" w:color="auto"/>
            </w:tcBorders>
            <w:noWrap/>
            <w:vAlign w:val="center"/>
            <w:hideMark/>
          </w:tcPr>
          <w:p w:rsidR="005A18C8" w:rsidRPr="000C7281" w:rsidRDefault="005A18C8" w:rsidP="00F81D72">
            <w:pPr>
              <w:ind w:firstLineChars="100" w:firstLine="200"/>
              <w:rPr>
                <w:sz w:val="20"/>
                <w:lang w:val="id-ID" w:eastAsia="id-ID"/>
              </w:rPr>
            </w:pPr>
          </w:p>
        </w:tc>
      </w:tr>
      <w:tr w:rsidR="000C7281" w:rsidRPr="000C7281" w:rsidTr="005A18C8">
        <w:trPr>
          <w:trHeight w:val="57"/>
        </w:trPr>
        <w:tc>
          <w:tcPr>
            <w:tcW w:w="2127" w:type="dxa"/>
            <w:vMerge w:val="restart"/>
            <w:tcBorders>
              <w:top w:val="nil"/>
              <w:left w:val="nil"/>
              <w:bottom w:val="single" w:sz="4" w:space="0" w:color="000000"/>
              <w:right w:val="nil"/>
            </w:tcBorders>
            <w:hideMark/>
          </w:tcPr>
          <w:p w:rsidR="005A18C8" w:rsidRPr="000C7281" w:rsidRDefault="005A18C8" w:rsidP="00445248">
            <w:pPr>
              <w:rPr>
                <w:b/>
                <w:bCs/>
                <w:sz w:val="20"/>
                <w:lang w:val="id-ID" w:eastAsia="id-ID"/>
              </w:rPr>
            </w:pPr>
            <w:r w:rsidRPr="000C7281">
              <w:rPr>
                <w:b/>
                <w:bCs/>
                <w:sz w:val="20"/>
                <w:lang w:eastAsia="id-ID"/>
              </w:rPr>
              <w:t xml:space="preserve">Innovation </w:t>
            </w:r>
            <w:r w:rsidRPr="000C7281">
              <w:rPr>
                <w:b/>
                <w:bCs/>
                <w:sz w:val="20"/>
                <w:lang w:val="id-ID" w:eastAsia="id-ID"/>
              </w:rPr>
              <w:t>Infrastructur</w:t>
            </w:r>
            <w:r w:rsidRPr="000C7281">
              <w:rPr>
                <w:b/>
                <w:bCs/>
                <w:sz w:val="20"/>
                <w:lang w:eastAsia="id-ID"/>
              </w:rPr>
              <w:t>e</w:t>
            </w:r>
            <w:r w:rsidRPr="000C7281">
              <w:rPr>
                <w:b/>
                <w:bCs/>
                <w:sz w:val="20"/>
                <w:lang w:val="id-ID" w:eastAsia="id-ID"/>
              </w:rPr>
              <w:t xml:space="preserve"> (</w:t>
            </w:r>
            <w:r w:rsidR="00445248" w:rsidRPr="000C7281">
              <w:rPr>
                <w:b/>
                <w:bCs/>
                <w:sz w:val="20"/>
                <w:lang w:val="id-ID" w:eastAsia="id-ID"/>
              </w:rPr>
              <w:t>INF</w:t>
            </w:r>
            <w:r w:rsidRPr="000C7281">
              <w:rPr>
                <w:b/>
                <w:bCs/>
                <w:sz w:val="20"/>
                <w:lang w:val="id-ID" w:eastAsia="id-ID"/>
              </w:rPr>
              <w:t>)</w:t>
            </w:r>
          </w:p>
        </w:tc>
        <w:tc>
          <w:tcPr>
            <w:tcW w:w="4536" w:type="dxa"/>
            <w:noWrap/>
            <w:vAlign w:val="center"/>
            <w:hideMark/>
          </w:tcPr>
          <w:p w:rsidR="005A18C8" w:rsidRPr="000C7281" w:rsidRDefault="005A18C8" w:rsidP="005A18C8">
            <w:pPr>
              <w:pStyle w:val="ListParagraph"/>
              <w:numPr>
                <w:ilvl w:val="0"/>
                <w:numId w:val="8"/>
              </w:numPr>
              <w:ind w:left="318" w:hanging="219"/>
              <w:contextualSpacing w:val="0"/>
              <w:rPr>
                <w:sz w:val="20"/>
                <w:lang w:val="id-ID" w:eastAsia="id-ID"/>
              </w:rPr>
            </w:pPr>
            <w:r w:rsidRPr="000C7281">
              <w:rPr>
                <w:sz w:val="20"/>
                <w:lang w:eastAsia="id-ID"/>
              </w:rPr>
              <w:t xml:space="preserve">Access to Financial Support </w:t>
            </w:r>
          </w:p>
        </w:tc>
        <w:tc>
          <w:tcPr>
            <w:tcW w:w="2060" w:type="dxa"/>
            <w:vMerge w:val="restart"/>
            <w:noWrap/>
            <w:vAlign w:val="center"/>
            <w:hideMark/>
          </w:tcPr>
          <w:p w:rsidR="005A18C8" w:rsidRPr="000C7281" w:rsidRDefault="005A18C8" w:rsidP="0073454B">
            <w:pPr>
              <w:ind w:firstLine="34"/>
              <w:rPr>
                <w:sz w:val="20"/>
                <w:lang w:val="id-ID" w:eastAsia="id-ID"/>
              </w:rPr>
            </w:pPr>
            <w:r w:rsidRPr="000C7281">
              <w:rPr>
                <w:sz w:val="20"/>
                <w:lang w:val="id-ID" w:eastAsia="id-ID"/>
              </w:rPr>
              <w:t>(1 = not support, 2 = support, 3 = high support)</w:t>
            </w:r>
          </w:p>
        </w:tc>
      </w:tr>
      <w:tr w:rsidR="000C7281" w:rsidRPr="000C7281" w:rsidTr="005A18C8">
        <w:trPr>
          <w:trHeight w:val="57"/>
        </w:trPr>
        <w:tc>
          <w:tcPr>
            <w:tcW w:w="2127" w:type="dxa"/>
            <w:vMerge/>
            <w:tcBorders>
              <w:top w:val="nil"/>
              <w:left w:val="nil"/>
              <w:bottom w:val="single" w:sz="4" w:space="0" w:color="000000"/>
              <w:right w:val="nil"/>
            </w:tcBorders>
            <w:vAlign w:val="center"/>
            <w:hideMark/>
          </w:tcPr>
          <w:p w:rsidR="005A18C8" w:rsidRPr="000C7281" w:rsidRDefault="005A18C8" w:rsidP="00F81D72">
            <w:pPr>
              <w:rPr>
                <w:b/>
                <w:bCs/>
                <w:sz w:val="20"/>
                <w:lang w:val="id-ID" w:eastAsia="id-ID"/>
              </w:rPr>
            </w:pPr>
          </w:p>
        </w:tc>
        <w:tc>
          <w:tcPr>
            <w:tcW w:w="4536" w:type="dxa"/>
            <w:noWrap/>
            <w:vAlign w:val="center"/>
            <w:hideMark/>
          </w:tcPr>
          <w:p w:rsidR="005A18C8" w:rsidRPr="000C7281" w:rsidRDefault="005A18C8" w:rsidP="005A18C8">
            <w:pPr>
              <w:pStyle w:val="ListParagraph"/>
              <w:numPr>
                <w:ilvl w:val="0"/>
                <w:numId w:val="8"/>
              </w:numPr>
              <w:ind w:left="318" w:hanging="219"/>
              <w:contextualSpacing w:val="0"/>
              <w:rPr>
                <w:sz w:val="20"/>
                <w:lang w:val="id-ID" w:eastAsia="id-ID"/>
              </w:rPr>
            </w:pPr>
            <w:r w:rsidRPr="000C7281">
              <w:rPr>
                <w:sz w:val="20"/>
                <w:lang/>
              </w:rPr>
              <w:t>The level of use of ICT in rural areas</w:t>
            </w:r>
          </w:p>
        </w:tc>
        <w:tc>
          <w:tcPr>
            <w:tcW w:w="2060" w:type="dxa"/>
            <w:vMerge/>
            <w:noWrap/>
            <w:vAlign w:val="center"/>
            <w:hideMark/>
          </w:tcPr>
          <w:p w:rsidR="005A18C8" w:rsidRPr="000C7281" w:rsidRDefault="005A18C8" w:rsidP="00F81D72">
            <w:pPr>
              <w:ind w:firstLineChars="100" w:firstLine="200"/>
              <w:rPr>
                <w:sz w:val="20"/>
                <w:lang w:val="id-ID" w:eastAsia="id-ID"/>
              </w:rPr>
            </w:pPr>
          </w:p>
        </w:tc>
      </w:tr>
      <w:tr w:rsidR="000C7281" w:rsidRPr="000C7281" w:rsidTr="005A18C8">
        <w:trPr>
          <w:trHeight w:val="57"/>
        </w:trPr>
        <w:tc>
          <w:tcPr>
            <w:tcW w:w="2127" w:type="dxa"/>
            <w:vMerge/>
            <w:tcBorders>
              <w:top w:val="nil"/>
              <w:left w:val="nil"/>
              <w:bottom w:val="single" w:sz="4" w:space="0" w:color="000000"/>
              <w:right w:val="nil"/>
            </w:tcBorders>
            <w:vAlign w:val="center"/>
            <w:hideMark/>
          </w:tcPr>
          <w:p w:rsidR="005A18C8" w:rsidRPr="000C7281" w:rsidRDefault="005A18C8" w:rsidP="00F81D72">
            <w:pPr>
              <w:rPr>
                <w:b/>
                <w:bCs/>
                <w:sz w:val="20"/>
                <w:lang w:val="id-ID" w:eastAsia="id-ID"/>
              </w:rPr>
            </w:pPr>
          </w:p>
        </w:tc>
        <w:tc>
          <w:tcPr>
            <w:tcW w:w="4536" w:type="dxa"/>
            <w:noWrap/>
            <w:vAlign w:val="center"/>
            <w:hideMark/>
          </w:tcPr>
          <w:p w:rsidR="005A18C8" w:rsidRPr="000C7281" w:rsidRDefault="005A18C8" w:rsidP="005A18C8">
            <w:pPr>
              <w:pStyle w:val="ListParagraph"/>
              <w:numPr>
                <w:ilvl w:val="0"/>
                <w:numId w:val="8"/>
              </w:numPr>
              <w:ind w:left="318" w:hanging="219"/>
              <w:contextualSpacing w:val="0"/>
              <w:rPr>
                <w:sz w:val="20"/>
                <w:lang w:val="id-ID" w:eastAsia="id-ID"/>
              </w:rPr>
            </w:pPr>
            <w:r w:rsidRPr="000C7281">
              <w:rPr>
                <w:sz w:val="20"/>
                <w:lang/>
              </w:rPr>
              <w:t>Condition of ICT infrastructure in rural areas</w:t>
            </w:r>
          </w:p>
        </w:tc>
        <w:tc>
          <w:tcPr>
            <w:tcW w:w="2060" w:type="dxa"/>
            <w:vMerge/>
            <w:noWrap/>
            <w:vAlign w:val="center"/>
            <w:hideMark/>
          </w:tcPr>
          <w:p w:rsidR="005A18C8" w:rsidRPr="000C7281" w:rsidRDefault="005A18C8" w:rsidP="00F81D72">
            <w:pPr>
              <w:ind w:firstLineChars="100" w:firstLine="200"/>
              <w:rPr>
                <w:sz w:val="20"/>
                <w:lang w:val="id-ID" w:eastAsia="id-ID"/>
              </w:rPr>
            </w:pPr>
          </w:p>
        </w:tc>
      </w:tr>
      <w:tr w:rsidR="000C7281" w:rsidRPr="000C7281" w:rsidTr="005A18C8">
        <w:trPr>
          <w:trHeight w:val="303"/>
        </w:trPr>
        <w:tc>
          <w:tcPr>
            <w:tcW w:w="2127" w:type="dxa"/>
            <w:vMerge/>
            <w:tcBorders>
              <w:top w:val="nil"/>
              <w:left w:val="nil"/>
              <w:bottom w:val="single" w:sz="4" w:space="0" w:color="000000"/>
              <w:right w:val="nil"/>
            </w:tcBorders>
            <w:vAlign w:val="center"/>
            <w:hideMark/>
          </w:tcPr>
          <w:p w:rsidR="005A18C8" w:rsidRPr="000C7281" w:rsidRDefault="005A18C8" w:rsidP="00F81D72">
            <w:pPr>
              <w:rPr>
                <w:b/>
                <w:bCs/>
                <w:sz w:val="20"/>
                <w:lang w:val="id-ID" w:eastAsia="id-ID"/>
              </w:rPr>
            </w:pPr>
          </w:p>
        </w:tc>
        <w:tc>
          <w:tcPr>
            <w:tcW w:w="4536" w:type="dxa"/>
            <w:tcBorders>
              <w:top w:val="nil"/>
              <w:left w:val="nil"/>
              <w:bottom w:val="single" w:sz="4" w:space="0" w:color="auto"/>
            </w:tcBorders>
            <w:noWrap/>
            <w:vAlign w:val="center"/>
            <w:hideMark/>
          </w:tcPr>
          <w:p w:rsidR="005A18C8" w:rsidRPr="000C7281" w:rsidRDefault="005A18C8" w:rsidP="005A18C8">
            <w:pPr>
              <w:pStyle w:val="ListParagraph"/>
              <w:numPr>
                <w:ilvl w:val="0"/>
                <w:numId w:val="8"/>
              </w:numPr>
              <w:ind w:left="318" w:hanging="219"/>
              <w:contextualSpacing w:val="0"/>
              <w:rPr>
                <w:sz w:val="20"/>
                <w:lang w:val="id-ID" w:eastAsia="id-ID"/>
              </w:rPr>
            </w:pPr>
            <w:r w:rsidRPr="000C7281">
              <w:rPr>
                <w:sz w:val="20"/>
                <w:lang/>
              </w:rPr>
              <w:t>HR training</w:t>
            </w:r>
          </w:p>
        </w:tc>
        <w:tc>
          <w:tcPr>
            <w:tcW w:w="2060" w:type="dxa"/>
            <w:vMerge/>
            <w:tcBorders>
              <w:bottom w:val="single" w:sz="4" w:space="0" w:color="auto"/>
            </w:tcBorders>
            <w:noWrap/>
            <w:vAlign w:val="center"/>
            <w:hideMark/>
          </w:tcPr>
          <w:p w:rsidR="005A18C8" w:rsidRPr="000C7281" w:rsidRDefault="005A18C8" w:rsidP="00F81D72">
            <w:pPr>
              <w:ind w:firstLineChars="100" w:firstLine="200"/>
              <w:rPr>
                <w:sz w:val="20"/>
                <w:lang w:val="id-ID" w:eastAsia="id-ID"/>
              </w:rPr>
            </w:pPr>
          </w:p>
        </w:tc>
      </w:tr>
      <w:tr w:rsidR="000C7281" w:rsidRPr="000C7281" w:rsidTr="005A18C8">
        <w:trPr>
          <w:trHeight w:val="57"/>
        </w:trPr>
        <w:tc>
          <w:tcPr>
            <w:tcW w:w="2127" w:type="dxa"/>
            <w:vMerge w:val="restart"/>
            <w:tcBorders>
              <w:top w:val="nil"/>
              <w:left w:val="nil"/>
              <w:bottom w:val="single" w:sz="4" w:space="0" w:color="000000"/>
              <w:right w:val="nil"/>
            </w:tcBorders>
            <w:hideMark/>
          </w:tcPr>
          <w:p w:rsidR="005A18C8" w:rsidRPr="000C7281" w:rsidRDefault="005A18C8" w:rsidP="00F81D72">
            <w:pPr>
              <w:rPr>
                <w:b/>
                <w:bCs/>
                <w:sz w:val="20"/>
                <w:lang w:val="id-ID" w:eastAsia="id-ID"/>
              </w:rPr>
            </w:pPr>
            <w:r w:rsidRPr="000C7281">
              <w:rPr>
                <w:b/>
                <w:sz w:val="20"/>
                <w:lang/>
              </w:rPr>
              <w:t>Institutional Capacity</w:t>
            </w:r>
            <w:r w:rsidRPr="000C7281">
              <w:rPr>
                <w:b/>
                <w:bCs/>
                <w:sz w:val="20"/>
                <w:lang w:val="id-ID" w:eastAsia="id-ID"/>
              </w:rPr>
              <w:t xml:space="preserve"> (MAN)</w:t>
            </w:r>
          </w:p>
        </w:tc>
        <w:tc>
          <w:tcPr>
            <w:tcW w:w="4536" w:type="dxa"/>
            <w:noWrap/>
            <w:vAlign w:val="center"/>
            <w:hideMark/>
          </w:tcPr>
          <w:p w:rsidR="005A18C8" w:rsidRPr="000C7281" w:rsidRDefault="005A18C8" w:rsidP="005A18C8">
            <w:pPr>
              <w:pStyle w:val="ListParagraph"/>
              <w:numPr>
                <w:ilvl w:val="0"/>
                <w:numId w:val="9"/>
              </w:numPr>
              <w:ind w:left="318" w:hanging="219"/>
              <w:contextualSpacing w:val="0"/>
              <w:rPr>
                <w:sz w:val="20"/>
                <w:lang w:val="id-ID" w:eastAsia="id-ID"/>
              </w:rPr>
            </w:pPr>
            <w:r w:rsidRPr="000C7281">
              <w:rPr>
                <w:sz w:val="20"/>
                <w:lang/>
              </w:rPr>
              <w:t>Capacity of Innovation ad</w:t>
            </w:r>
            <w:r w:rsidRPr="000C7281">
              <w:rPr>
                <w:sz w:val="20"/>
                <w:lang w:val="id-ID"/>
              </w:rPr>
              <w:t>o</w:t>
            </w:r>
            <w:r w:rsidRPr="000C7281">
              <w:rPr>
                <w:sz w:val="20"/>
                <w:lang/>
              </w:rPr>
              <w:t>ption</w:t>
            </w:r>
          </w:p>
        </w:tc>
        <w:tc>
          <w:tcPr>
            <w:tcW w:w="2060" w:type="dxa"/>
            <w:vMerge w:val="restart"/>
            <w:noWrap/>
            <w:vAlign w:val="center"/>
            <w:hideMark/>
          </w:tcPr>
          <w:p w:rsidR="005A18C8" w:rsidRPr="000C7281" w:rsidRDefault="005A18C8" w:rsidP="00713DE3">
            <w:pPr>
              <w:ind w:firstLine="34"/>
              <w:rPr>
                <w:sz w:val="20"/>
                <w:lang w:val="id-ID" w:eastAsia="id-ID"/>
              </w:rPr>
            </w:pPr>
            <w:r w:rsidRPr="000C7281">
              <w:rPr>
                <w:sz w:val="20"/>
                <w:lang w:val="id-ID" w:eastAsia="id-ID"/>
              </w:rPr>
              <w:t xml:space="preserve">(1 = not good, 2 = </w:t>
            </w:r>
            <w:r w:rsidR="00713DE3" w:rsidRPr="000C7281">
              <w:rPr>
                <w:sz w:val="20"/>
                <w:lang w:val="id-ID" w:eastAsia="id-ID"/>
              </w:rPr>
              <w:t>good</w:t>
            </w:r>
            <w:r w:rsidRPr="000C7281">
              <w:rPr>
                <w:sz w:val="20"/>
                <w:lang w:val="id-ID" w:eastAsia="id-ID"/>
              </w:rPr>
              <w:t>, 3 = very good)</w:t>
            </w:r>
          </w:p>
        </w:tc>
      </w:tr>
      <w:tr w:rsidR="000C7281" w:rsidRPr="000C7281" w:rsidTr="005A18C8">
        <w:trPr>
          <w:trHeight w:val="57"/>
        </w:trPr>
        <w:tc>
          <w:tcPr>
            <w:tcW w:w="2127" w:type="dxa"/>
            <w:vMerge/>
            <w:tcBorders>
              <w:top w:val="nil"/>
              <w:left w:val="nil"/>
              <w:bottom w:val="single" w:sz="4" w:space="0" w:color="000000"/>
              <w:right w:val="nil"/>
            </w:tcBorders>
            <w:vAlign w:val="center"/>
            <w:hideMark/>
          </w:tcPr>
          <w:p w:rsidR="005A18C8" w:rsidRPr="000C7281" w:rsidRDefault="005A18C8" w:rsidP="00F81D72">
            <w:pPr>
              <w:rPr>
                <w:b/>
                <w:bCs/>
                <w:sz w:val="20"/>
                <w:lang w:val="id-ID" w:eastAsia="id-ID"/>
              </w:rPr>
            </w:pPr>
          </w:p>
        </w:tc>
        <w:tc>
          <w:tcPr>
            <w:tcW w:w="4536" w:type="dxa"/>
            <w:noWrap/>
            <w:vAlign w:val="center"/>
            <w:hideMark/>
          </w:tcPr>
          <w:p w:rsidR="005A18C8" w:rsidRPr="000C7281" w:rsidRDefault="005A18C8" w:rsidP="005A18C8">
            <w:pPr>
              <w:pStyle w:val="ListParagraph"/>
              <w:numPr>
                <w:ilvl w:val="0"/>
                <w:numId w:val="9"/>
              </w:numPr>
              <w:ind w:left="318" w:hanging="219"/>
              <w:contextualSpacing w:val="0"/>
              <w:rPr>
                <w:sz w:val="20"/>
                <w:lang w:val="id-ID" w:eastAsia="id-ID"/>
              </w:rPr>
            </w:pPr>
            <w:r w:rsidRPr="000C7281">
              <w:rPr>
                <w:sz w:val="20"/>
                <w:lang/>
              </w:rPr>
              <w:t>Capacity of Cooperation with Suppliers</w:t>
            </w:r>
          </w:p>
        </w:tc>
        <w:tc>
          <w:tcPr>
            <w:tcW w:w="2060" w:type="dxa"/>
            <w:vMerge/>
            <w:noWrap/>
            <w:vAlign w:val="center"/>
            <w:hideMark/>
          </w:tcPr>
          <w:p w:rsidR="005A18C8" w:rsidRPr="000C7281" w:rsidRDefault="005A18C8" w:rsidP="00F81D72">
            <w:pPr>
              <w:ind w:firstLineChars="100" w:firstLine="200"/>
              <w:rPr>
                <w:sz w:val="20"/>
                <w:lang w:val="id-ID" w:eastAsia="id-ID"/>
              </w:rPr>
            </w:pPr>
          </w:p>
        </w:tc>
      </w:tr>
      <w:tr w:rsidR="000C7281" w:rsidRPr="000C7281" w:rsidTr="005A18C8">
        <w:trPr>
          <w:trHeight w:val="57"/>
        </w:trPr>
        <w:tc>
          <w:tcPr>
            <w:tcW w:w="2127" w:type="dxa"/>
            <w:vMerge/>
            <w:tcBorders>
              <w:top w:val="nil"/>
              <w:left w:val="nil"/>
              <w:bottom w:val="single" w:sz="4" w:space="0" w:color="000000"/>
              <w:right w:val="nil"/>
            </w:tcBorders>
            <w:vAlign w:val="center"/>
            <w:hideMark/>
          </w:tcPr>
          <w:p w:rsidR="005A18C8" w:rsidRPr="000C7281" w:rsidRDefault="005A18C8" w:rsidP="00F81D72">
            <w:pPr>
              <w:rPr>
                <w:b/>
                <w:bCs/>
                <w:sz w:val="20"/>
                <w:lang w:val="id-ID" w:eastAsia="id-ID"/>
              </w:rPr>
            </w:pPr>
          </w:p>
        </w:tc>
        <w:tc>
          <w:tcPr>
            <w:tcW w:w="4536" w:type="dxa"/>
            <w:noWrap/>
            <w:vAlign w:val="center"/>
            <w:hideMark/>
          </w:tcPr>
          <w:p w:rsidR="005A18C8" w:rsidRPr="000C7281" w:rsidRDefault="005A18C8" w:rsidP="005A18C8">
            <w:pPr>
              <w:pStyle w:val="ListParagraph"/>
              <w:numPr>
                <w:ilvl w:val="0"/>
                <w:numId w:val="9"/>
              </w:numPr>
              <w:ind w:left="318" w:hanging="219"/>
              <w:contextualSpacing w:val="0"/>
              <w:rPr>
                <w:sz w:val="20"/>
                <w:lang w:val="id-ID" w:eastAsia="id-ID"/>
              </w:rPr>
            </w:pPr>
            <w:r w:rsidRPr="000C7281">
              <w:rPr>
                <w:sz w:val="20"/>
                <w:lang/>
              </w:rPr>
              <w:t>Capacity of Cooperation with Buyer</w:t>
            </w:r>
          </w:p>
        </w:tc>
        <w:tc>
          <w:tcPr>
            <w:tcW w:w="2060" w:type="dxa"/>
            <w:vMerge/>
            <w:noWrap/>
            <w:vAlign w:val="center"/>
            <w:hideMark/>
          </w:tcPr>
          <w:p w:rsidR="005A18C8" w:rsidRPr="000C7281" w:rsidRDefault="005A18C8" w:rsidP="00F81D72">
            <w:pPr>
              <w:ind w:firstLineChars="100" w:firstLine="200"/>
              <w:rPr>
                <w:sz w:val="20"/>
                <w:lang w:val="id-ID" w:eastAsia="id-ID"/>
              </w:rPr>
            </w:pPr>
          </w:p>
        </w:tc>
      </w:tr>
      <w:tr w:rsidR="000C7281" w:rsidRPr="000C7281" w:rsidTr="005A18C8">
        <w:trPr>
          <w:trHeight w:val="57"/>
        </w:trPr>
        <w:tc>
          <w:tcPr>
            <w:tcW w:w="2127" w:type="dxa"/>
            <w:vMerge/>
            <w:tcBorders>
              <w:top w:val="nil"/>
              <w:left w:val="nil"/>
              <w:bottom w:val="single" w:sz="4" w:space="0" w:color="000000"/>
              <w:right w:val="nil"/>
            </w:tcBorders>
            <w:vAlign w:val="center"/>
            <w:hideMark/>
          </w:tcPr>
          <w:p w:rsidR="005A18C8" w:rsidRPr="000C7281" w:rsidRDefault="005A18C8" w:rsidP="00F81D72">
            <w:pPr>
              <w:rPr>
                <w:b/>
                <w:bCs/>
                <w:sz w:val="20"/>
                <w:lang w:val="id-ID" w:eastAsia="id-ID"/>
              </w:rPr>
            </w:pPr>
          </w:p>
        </w:tc>
        <w:tc>
          <w:tcPr>
            <w:tcW w:w="4536" w:type="dxa"/>
            <w:tcBorders>
              <w:top w:val="nil"/>
              <w:left w:val="nil"/>
              <w:bottom w:val="single" w:sz="4" w:space="0" w:color="auto"/>
            </w:tcBorders>
            <w:noWrap/>
            <w:vAlign w:val="center"/>
            <w:hideMark/>
          </w:tcPr>
          <w:p w:rsidR="005A18C8" w:rsidRPr="000C7281" w:rsidRDefault="005A18C8" w:rsidP="005A18C8">
            <w:pPr>
              <w:pStyle w:val="ListParagraph"/>
              <w:numPr>
                <w:ilvl w:val="0"/>
                <w:numId w:val="9"/>
              </w:numPr>
              <w:ind w:left="318" w:hanging="219"/>
              <w:contextualSpacing w:val="0"/>
              <w:rPr>
                <w:sz w:val="20"/>
                <w:lang w:val="id-ID" w:eastAsia="id-ID"/>
              </w:rPr>
            </w:pPr>
            <w:r w:rsidRPr="000C7281">
              <w:rPr>
                <w:sz w:val="20"/>
                <w:lang/>
              </w:rPr>
              <w:t>Capacity of Cooperation with Competitors</w:t>
            </w:r>
          </w:p>
        </w:tc>
        <w:tc>
          <w:tcPr>
            <w:tcW w:w="2060" w:type="dxa"/>
            <w:vMerge/>
            <w:tcBorders>
              <w:bottom w:val="single" w:sz="4" w:space="0" w:color="auto"/>
            </w:tcBorders>
            <w:noWrap/>
            <w:vAlign w:val="center"/>
            <w:hideMark/>
          </w:tcPr>
          <w:p w:rsidR="005A18C8" w:rsidRPr="000C7281" w:rsidRDefault="005A18C8" w:rsidP="00F81D72">
            <w:pPr>
              <w:ind w:firstLineChars="100" w:firstLine="200"/>
              <w:rPr>
                <w:sz w:val="20"/>
                <w:lang w:val="id-ID" w:eastAsia="id-ID"/>
              </w:rPr>
            </w:pPr>
          </w:p>
        </w:tc>
      </w:tr>
      <w:tr w:rsidR="000C7281" w:rsidRPr="000C7281" w:rsidTr="005A18C8">
        <w:trPr>
          <w:trHeight w:val="57"/>
        </w:trPr>
        <w:tc>
          <w:tcPr>
            <w:tcW w:w="2127" w:type="dxa"/>
            <w:vMerge w:val="restart"/>
            <w:tcBorders>
              <w:top w:val="nil"/>
              <w:left w:val="nil"/>
              <w:bottom w:val="single" w:sz="4" w:space="0" w:color="000000"/>
              <w:right w:val="nil"/>
            </w:tcBorders>
            <w:hideMark/>
          </w:tcPr>
          <w:p w:rsidR="005A18C8" w:rsidRPr="000C7281" w:rsidRDefault="005A18C8" w:rsidP="00F81D72">
            <w:pPr>
              <w:rPr>
                <w:b/>
                <w:bCs/>
                <w:sz w:val="20"/>
                <w:lang w:val="id-ID" w:eastAsia="id-ID"/>
              </w:rPr>
            </w:pPr>
            <w:r w:rsidRPr="000C7281">
              <w:rPr>
                <w:b/>
                <w:sz w:val="20"/>
                <w:lang/>
              </w:rPr>
              <w:t>Innovation Culture</w:t>
            </w:r>
            <w:r w:rsidRPr="000C7281">
              <w:rPr>
                <w:b/>
                <w:bCs/>
                <w:sz w:val="20"/>
                <w:lang w:val="id-ID" w:eastAsia="id-ID"/>
              </w:rPr>
              <w:t xml:space="preserve"> (CUL)</w:t>
            </w:r>
          </w:p>
        </w:tc>
        <w:tc>
          <w:tcPr>
            <w:tcW w:w="4536" w:type="dxa"/>
            <w:noWrap/>
            <w:vAlign w:val="center"/>
            <w:hideMark/>
          </w:tcPr>
          <w:p w:rsidR="005A18C8" w:rsidRPr="000C7281" w:rsidRDefault="005A18C8" w:rsidP="005A18C8">
            <w:pPr>
              <w:pStyle w:val="ListParagraph"/>
              <w:numPr>
                <w:ilvl w:val="0"/>
                <w:numId w:val="10"/>
              </w:numPr>
              <w:ind w:left="318" w:hanging="219"/>
              <w:contextualSpacing w:val="0"/>
              <w:rPr>
                <w:sz w:val="20"/>
                <w:lang w:val="id-ID" w:eastAsia="id-ID"/>
              </w:rPr>
            </w:pPr>
            <w:r w:rsidRPr="000C7281">
              <w:rPr>
                <w:sz w:val="20"/>
                <w:lang/>
              </w:rPr>
              <w:t>Innovation Culture</w:t>
            </w:r>
          </w:p>
        </w:tc>
        <w:tc>
          <w:tcPr>
            <w:tcW w:w="2060" w:type="dxa"/>
            <w:vMerge w:val="restart"/>
            <w:noWrap/>
            <w:vAlign w:val="center"/>
            <w:hideMark/>
          </w:tcPr>
          <w:p w:rsidR="005A18C8" w:rsidRPr="000C7281" w:rsidRDefault="005A18C8" w:rsidP="00713DE3">
            <w:pPr>
              <w:rPr>
                <w:sz w:val="20"/>
                <w:lang w:val="id-ID" w:eastAsia="id-ID"/>
              </w:rPr>
            </w:pPr>
            <w:r w:rsidRPr="000C7281">
              <w:rPr>
                <w:sz w:val="20"/>
                <w:lang w:val="id-ID" w:eastAsia="id-ID"/>
              </w:rPr>
              <w:t xml:space="preserve">(1 = not good, 2 = </w:t>
            </w:r>
            <w:r w:rsidR="00713DE3" w:rsidRPr="000C7281">
              <w:rPr>
                <w:sz w:val="20"/>
                <w:lang w:val="id-ID" w:eastAsia="id-ID"/>
              </w:rPr>
              <w:t>good</w:t>
            </w:r>
            <w:r w:rsidRPr="000C7281">
              <w:rPr>
                <w:sz w:val="20"/>
                <w:lang w:val="id-ID" w:eastAsia="id-ID"/>
              </w:rPr>
              <w:t>, 3 = very good)</w:t>
            </w:r>
          </w:p>
        </w:tc>
      </w:tr>
      <w:tr w:rsidR="000C7281" w:rsidRPr="000C7281" w:rsidTr="005A18C8">
        <w:trPr>
          <w:trHeight w:val="57"/>
        </w:trPr>
        <w:tc>
          <w:tcPr>
            <w:tcW w:w="2127" w:type="dxa"/>
            <w:vMerge/>
            <w:tcBorders>
              <w:top w:val="nil"/>
              <w:left w:val="nil"/>
              <w:bottom w:val="single" w:sz="4" w:space="0" w:color="000000"/>
              <w:right w:val="nil"/>
            </w:tcBorders>
            <w:vAlign w:val="center"/>
            <w:hideMark/>
          </w:tcPr>
          <w:p w:rsidR="005A18C8" w:rsidRPr="000C7281" w:rsidRDefault="005A18C8" w:rsidP="00F81D72">
            <w:pPr>
              <w:rPr>
                <w:b/>
                <w:bCs/>
                <w:sz w:val="20"/>
                <w:lang w:val="id-ID" w:eastAsia="id-ID"/>
              </w:rPr>
            </w:pPr>
          </w:p>
        </w:tc>
        <w:tc>
          <w:tcPr>
            <w:tcW w:w="4536" w:type="dxa"/>
            <w:noWrap/>
            <w:vAlign w:val="center"/>
            <w:hideMark/>
          </w:tcPr>
          <w:p w:rsidR="005A18C8" w:rsidRPr="000C7281" w:rsidRDefault="005A18C8" w:rsidP="005A18C8">
            <w:pPr>
              <w:pStyle w:val="ListParagraph"/>
              <w:numPr>
                <w:ilvl w:val="0"/>
                <w:numId w:val="10"/>
              </w:numPr>
              <w:ind w:left="318" w:hanging="219"/>
              <w:contextualSpacing w:val="0"/>
              <w:rPr>
                <w:sz w:val="20"/>
                <w:lang w:val="id-ID" w:eastAsia="id-ID"/>
              </w:rPr>
            </w:pPr>
            <w:r w:rsidRPr="000C7281">
              <w:rPr>
                <w:sz w:val="20"/>
                <w:lang/>
              </w:rPr>
              <w:t>Entrepreneurial culture</w:t>
            </w:r>
          </w:p>
        </w:tc>
        <w:tc>
          <w:tcPr>
            <w:tcW w:w="2060" w:type="dxa"/>
            <w:vMerge/>
            <w:noWrap/>
            <w:vAlign w:val="center"/>
            <w:hideMark/>
          </w:tcPr>
          <w:p w:rsidR="005A18C8" w:rsidRPr="000C7281" w:rsidRDefault="005A18C8" w:rsidP="00F81D72">
            <w:pPr>
              <w:ind w:firstLineChars="100" w:firstLine="200"/>
              <w:rPr>
                <w:sz w:val="20"/>
                <w:lang w:val="id-ID" w:eastAsia="id-ID"/>
              </w:rPr>
            </w:pPr>
          </w:p>
        </w:tc>
      </w:tr>
      <w:tr w:rsidR="000C7281" w:rsidRPr="000C7281" w:rsidTr="005A18C8">
        <w:trPr>
          <w:trHeight w:val="57"/>
        </w:trPr>
        <w:tc>
          <w:tcPr>
            <w:tcW w:w="2127" w:type="dxa"/>
            <w:vMerge/>
            <w:tcBorders>
              <w:top w:val="nil"/>
              <w:left w:val="nil"/>
              <w:bottom w:val="single" w:sz="4" w:space="0" w:color="000000"/>
              <w:right w:val="nil"/>
            </w:tcBorders>
            <w:vAlign w:val="center"/>
            <w:hideMark/>
          </w:tcPr>
          <w:p w:rsidR="005A18C8" w:rsidRPr="000C7281" w:rsidRDefault="005A18C8" w:rsidP="00F81D72">
            <w:pPr>
              <w:rPr>
                <w:b/>
                <w:bCs/>
                <w:sz w:val="20"/>
                <w:lang w:val="id-ID" w:eastAsia="id-ID"/>
              </w:rPr>
            </w:pPr>
          </w:p>
        </w:tc>
        <w:tc>
          <w:tcPr>
            <w:tcW w:w="4536" w:type="dxa"/>
            <w:tcBorders>
              <w:top w:val="nil"/>
              <w:left w:val="nil"/>
              <w:bottom w:val="single" w:sz="4" w:space="0" w:color="auto"/>
            </w:tcBorders>
            <w:noWrap/>
            <w:vAlign w:val="center"/>
            <w:hideMark/>
          </w:tcPr>
          <w:p w:rsidR="005A18C8" w:rsidRPr="000C7281" w:rsidRDefault="005A18C8" w:rsidP="005A18C8">
            <w:pPr>
              <w:pStyle w:val="ListParagraph"/>
              <w:numPr>
                <w:ilvl w:val="0"/>
                <w:numId w:val="10"/>
              </w:numPr>
              <w:ind w:left="318" w:hanging="219"/>
              <w:contextualSpacing w:val="0"/>
              <w:rPr>
                <w:sz w:val="20"/>
                <w:lang w:val="id-ID" w:eastAsia="id-ID"/>
              </w:rPr>
            </w:pPr>
            <w:r w:rsidRPr="000C7281">
              <w:rPr>
                <w:sz w:val="20"/>
                <w:lang/>
              </w:rPr>
              <w:t>Concern for traditional knowledge</w:t>
            </w:r>
          </w:p>
        </w:tc>
        <w:tc>
          <w:tcPr>
            <w:tcW w:w="2060" w:type="dxa"/>
            <w:vMerge/>
            <w:tcBorders>
              <w:bottom w:val="single" w:sz="4" w:space="0" w:color="auto"/>
            </w:tcBorders>
            <w:noWrap/>
            <w:vAlign w:val="center"/>
            <w:hideMark/>
          </w:tcPr>
          <w:p w:rsidR="005A18C8" w:rsidRPr="000C7281" w:rsidRDefault="005A18C8" w:rsidP="00F81D72">
            <w:pPr>
              <w:ind w:firstLineChars="100" w:firstLine="200"/>
              <w:rPr>
                <w:sz w:val="20"/>
                <w:lang w:val="id-ID" w:eastAsia="id-ID"/>
              </w:rPr>
            </w:pPr>
          </w:p>
        </w:tc>
      </w:tr>
      <w:tr w:rsidR="000C7281" w:rsidRPr="000C7281" w:rsidTr="005A18C8">
        <w:trPr>
          <w:trHeight w:val="57"/>
        </w:trPr>
        <w:tc>
          <w:tcPr>
            <w:tcW w:w="2127" w:type="dxa"/>
            <w:vMerge w:val="restart"/>
            <w:tcBorders>
              <w:top w:val="nil"/>
              <w:left w:val="nil"/>
              <w:bottom w:val="single" w:sz="4" w:space="0" w:color="000000"/>
              <w:right w:val="nil"/>
            </w:tcBorders>
            <w:hideMark/>
          </w:tcPr>
          <w:p w:rsidR="005A18C8" w:rsidRPr="000C7281" w:rsidRDefault="005A18C8" w:rsidP="00F81D72">
            <w:pPr>
              <w:rPr>
                <w:b/>
                <w:bCs/>
                <w:sz w:val="20"/>
                <w:lang w:val="id-ID" w:eastAsia="id-ID"/>
              </w:rPr>
            </w:pPr>
            <w:r w:rsidRPr="000C7281">
              <w:rPr>
                <w:b/>
                <w:bCs/>
                <w:sz w:val="20"/>
                <w:lang w:eastAsia="id-ID"/>
              </w:rPr>
              <w:t>Capacity of</w:t>
            </w:r>
            <w:r w:rsidRPr="000C7281">
              <w:rPr>
                <w:b/>
                <w:bCs/>
                <w:sz w:val="20"/>
                <w:lang w:val="id-ID" w:eastAsia="id-ID"/>
              </w:rPr>
              <w:t xml:space="preserve"> Knowledge Management (KM)</w:t>
            </w:r>
          </w:p>
        </w:tc>
        <w:tc>
          <w:tcPr>
            <w:tcW w:w="4536" w:type="dxa"/>
            <w:noWrap/>
            <w:vAlign w:val="center"/>
            <w:hideMark/>
          </w:tcPr>
          <w:p w:rsidR="005A18C8" w:rsidRPr="000C7281" w:rsidRDefault="005A18C8" w:rsidP="005A18C8">
            <w:pPr>
              <w:pStyle w:val="ListParagraph"/>
              <w:numPr>
                <w:ilvl w:val="0"/>
                <w:numId w:val="11"/>
              </w:numPr>
              <w:ind w:left="318" w:hanging="219"/>
              <w:contextualSpacing w:val="0"/>
              <w:rPr>
                <w:sz w:val="20"/>
                <w:lang w:val="id-ID" w:eastAsia="id-ID"/>
              </w:rPr>
            </w:pPr>
            <w:r w:rsidRPr="000C7281">
              <w:rPr>
                <w:sz w:val="20"/>
                <w:lang/>
              </w:rPr>
              <w:t>Access to Innovation</w:t>
            </w:r>
          </w:p>
        </w:tc>
        <w:tc>
          <w:tcPr>
            <w:tcW w:w="2060" w:type="dxa"/>
            <w:vMerge w:val="restart"/>
            <w:noWrap/>
            <w:vAlign w:val="center"/>
            <w:hideMark/>
          </w:tcPr>
          <w:p w:rsidR="005A18C8" w:rsidRPr="000C7281" w:rsidRDefault="005A18C8" w:rsidP="00713DE3">
            <w:pPr>
              <w:rPr>
                <w:sz w:val="20"/>
                <w:lang w:val="id-ID" w:eastAsia="id-ID"/>
              </w:rPr>
            </w:pPr>
            <w:r w:rsidRPr="000C7281">
              <w:rPr>
                <w:sz w:val="20"/>
                <w:lang w:val="id-ID" w:eastAsia="id-ID"/>
              </w:rPr>
              <w:t xml:space="preserve">(1 = not good, 2 = </w:t>
            </w:r>
            <w:r w:rsidR="00713DE3" w:rsidRPr="000C7281">
              <w:rPr>
                <w:sz w:val="20"/>
                <w:lang w:val="id-ID" w:eastAsia="id-ID"/>
              </w:rPr>
              <w:t>good</w:t>
            </w:r>
            <w:r w:rsidRPr="000C7281">
              <w:rPr>
                <w:sz w:val="20"/>
                <w:lang w:val="id-ID" w:eastAsia="id-ID"/>
              </w:rPr>
              <w:t>, 3 = very good) </w:t>
            </w:r>
          </w:p>
        </w:tc>
      </w:tr>
      <w:tr w:rsidR="000C7281" w:rsidRPr="000C7281" w:rsidTr="005A18C8">
        <w:trPr>
          <w:trHeight w:val="57"/>
        </w:trPr>
        <w:tc>
          <w:tcPr>
            <w:tcW w:w="2127" w:type="dxa"/>
            <w:vMerge/>
            <w:tcBorders>
              <w:top w:val="nil"/>
              <w:left w:val="nil"/>
              <w:bottom w:val="single" w:sz="4" w:space="0" w:color="000000"/>
              <w:right w:val="nil"/>
            </w:tcBorders>
            <w:vAlign w:val="center"/>
            <w:hideMark/>
          </w:tcPr>
          <w:p w:rsidR="005A18C8" w:rsidRPr="000C7281" w:rsidRDefault="005A18C8" w:rsidP="00F81D72">
            <w:pPr>
              <w:rPr>
                <w:b/>
                <w:bCs/>
                <w:sz w:val="20"/>
                <w:lang w:val="id-ID" w:eastAsia="id-ID"/>
              </w:rPr>
            </w:pPr>
          </w:p>
        </w:tc>
        <w:tc>
          <w:tcPr>
            <w:tcW w:w="4536" w:type="dxa"/>
            <w:noWrap/>
            <w:vAlign w:val="center"/>
            <w:hideMark/>
          </w:tcPr>
          <w:p w:rsidR="005A18C8" w:rsidRPr="000C7281" w:rsidRDefault="005A18C8" w:rsidP="005A18C8">
            <w:pPr>
              <w:pStyle w:val="ListParagraph"/>
              <w:numPr>
                <w:ilvl w:val="0"/>
                <w:numId w:val="11"/>
              </w:numPr>
              <w:ind w:left="318" w:hanging="219"/>
              <w:contextualSpacing w:val="0"/>
              <w:rPr>
                <w:sz w:val="20"/>
                <w:lang w:val="id-ID" w:eastAsia="id-ID"/>
              </w:rPr>
            </w:pPr>
            <w:r w:rsidRPr="000C7281">
              <w:rPr>
                <w:sz w:val="20"/>
                <w:lang/>
              </w:rPr>
              <w:t>Access to Information on Innovation Funding</w:t>
            </w:r>
          </w:p>
        </w:tc>
        <w:tc>
          <w:tcPr>
            <w:tcW w:w="2060" w:type="dxa"/>
            <w:vMerge/>
            <w:noWrap/>
            <w:vAlign w:val="center"/>
            <w:hideMark/>
          </w:tcPr>
          <w:p w:rsidR="005A18C8" w:rsidRPr="000C7281" w:rsidRDefault="005A18C8" w:rsidP="00F81D72">
            <w:pPr>
              <w:ind w:firstLineChars="100" w:firstLine="200"/>
              <w:rPr>
                <w:sz w:val="20"/>
                <w:lang w:val="id-ID" w:eastAsia="id-ID"/>
              </w:rPr>
            </w:pPr>
          </w:p>
        </w:tc>
      </w:tr>
      <w:tr w:rsidR="000C7281" w:rsidRPr="000C7281" w:rsidTr="005A18C8">
        <w:trPr>
          <w:trHeight w:val="57"/>
        </w:trPr>
        <w:tc>
          <w:tcPr>
            <w:tcW w:w="2127" w:type="dxa"/>
            <w:vMerge/>
            <w:tcBorders>
              <w:top w:val="nil"/>
              <w:left w:val="nil"/>
              <w:bottom w:val="single" w:sz="4" w:space="0" w:color="000000"/>
              <w:right w:val="nil"/>
            </w:tcBorders>
            <w:vAlign w:val="center"/>
            <w:hideMark/>
          </w:tcPr>
          <w:p w:rsidR="005A18C8" w:rsidRPr="000C7281" w:rsidRDefault="005A18C8" w:rsidP="00F81D72">
            <w:pPr>
              <w:rPr>
                <w:b/>
                <w:bCs/>
                <w:sz w:val="20"/>
                <w:lang w:val="id-ID" w:eastAsia="id-ID"/>
              </w:rPr>
            </w:pPr>
          </w:p>
        </w:tc>
        <w:tc>
          <w:tcPr>
            <w:tcW w:w="4536" w:type="dxa"/>
            <w:noWrap/>
            <w:vAlign w:val="center"/>
            <w:hideMark/>
          </w:tcPr>
          <w:p w:rsidR="005A18C8" w:rsidRPr="000C7281" w:rsidRDefault="005A18C8" w:rsidP="005A18C8">
            <w:pPr>
              <w:pStyle w:val="ListParagraph"/>
              <w:numPr>
                <w:ilvl w:val="0"/>
                <w:numId w:val="11"/>
              </w:numPr>
              <w:ind w:left="318" w:hanging="219"/>
              <w:contextualSpacing w:val="0"/>
              <w:rPr>
                <w:sz w:val="20"/>
                <w:lang w:val="id-ID" w:eastAsia="id-ID"/>
              </w:rPr>
            </w:pPr>
            <w:r w:rsidRPr="000C7281">
              <w:rPr>
                <w:sz w:val="20"/>
                <w:lang/>
              </w:rPr>
              <w:t>Access to Information Reporting</w:t>
            </w:r>
          </w:p>
        </w:tc>
        <w:tc>
          <w:tcPr>
            <w:tcW w:w="2060" w:type="dxa"/>
            <w:vMerge/>
            <w:noWrap/>
            <w:vAlign w:val="center"/>
            <w:hideMark/>
          </w:tcPr>
          <w:p w:rsidR="005A18C8" w:rsidRPr="000C7281" w:rsidRDefault="005A18C8" w:rsidP="00F81D72">
            <w:pPr>
              <w:ind w:firstLineChars="100" w:firstLine="200"/>
              <w:rPr>
                <w:sz w:val="20"/>
                <w:lang w:val="id-ID" w:eastAsia="id-ID"/>
              </w:rPr>
            </w:pPr>
          </w:p>
        </w:tc>
      </w:tr>
      <w:tr w:rsidR="000C7281" w:rsidRPr="000C7281" w:rsidTr="005A18C8">
        <w:trPr>
          <w:trHeight w:val="57"/>
        </w:trPr>
        <w:tc>
          <w:tcPr>
            <w:tcW w:w="2127" w:type="dxa"/>
            <w:vMerge/>
            <w:tcBorders>
              <w:top w:val="nil"/>
              <w:left w:val="nil"/>
              <w:bottom w:val="single" w:sz="4" w:space="0" w:color="000000"/>
              <w:right w:val="nil"/>
            </w:tcBorders>
            <w:vAlign w:val="center"/>
            <w:hideMark/>
          </w:tcPr>
          <w:p w:rsidR="005A18C8" w:rsidRPr="000C7281" w:rsidRDefault="005A18C8" w:rsidP="00F81D72">
            <w:pPr>
              <w:rPr>
                <w:b/>
                <w:bCs/>
                <w:sz w:val="20"/>
                <w:lang w:val="id-ID" w:eastAsia="id-ID"/>
              </w:rPr>
            </w:pPr>
          </w:p>
        </w:tc>
        <w:tc>
          <w:tcPr>
            <w:tcW w:w="4536" w:type="dxa"/>
            <w:tcBorders>
              <w:top w:val="nil"/>
              <w:left w:val="nil"/>
              <w:bottom w:val="single" w:sz="4" w:space="0" w:color="auto"/>
            </w:tcBorders>
            <w:noWrap/>
            <w:vAlign w:val="center"/>
            <w:hideMark/>
          </w:tcPr>
          <w:p w:rsidR="005A18C8" w:rsidRPr="000C7281" w:rsidRDefault="005A18C8" w:rsidP="005A18C8">
            <w:pPr>
              <w:pStyle w:val="ListParagraph"/>
              <w:numPr>
                <w:ilvl w:val="0"/>
                <w:numId w:val="11"/>
              </w:numPr>
              <w:ind w:left="318" w:hanging="219"/>
              <w:contextualSpacing w:val="0"/>
              <w:rPr>
                <w:sz w:val="20"/>
                <w:lang w:val="id-ID" w:eastAsia="id-ID"/>
              </w:rPr>
            </w:pPr>
            <w:r w:rsidRPr="000C7281">
              <w:rPr>
                <w:sz w:val="20"/>
                <w:lang/>
              </w:rPr>
              <w:t>Connected with stakeholders</w:t>
            </w:r>
          </w:p>
        </w:tc>
        <w:tc>
          <w:tcPr>
            <w:tcW w:w="2060" w:type="dxa"/>
            <w:vMerge/>
            <w:tcBorders>
              <w:bottom w:val="single" w:sz="4" w:space="0" w:color="auto"/>
            </w:tcBorders>
            <w:noWrap/>
            <w:vAlign w:val="center"/>
            <w:hideMark/>
          </w:tcPr>
          <w:p w:rsidR="005A18C8" w:rsidRPr="000C7281" w:rsidRDefault="005A18C8" w:rsidP="00F81D72">
            <w:pPr>
              <w:ind w:firstLineChars="100" w:firstLine="200"/>
              <w:rPr>
                <w:sz w:val="20"/>
                <w:lang w:val="id-ID" w:eastAsia="id-ID"/>
              </w:rPr>
            </w:pPr>
          </w:p>
        </w:tc>
      </w:tr>
    </w:tbl>
    <w:p w:rsidR="005A18C8" w:rsidRPr="000C7281" w:rsidRDefault="005A18C8" w:rsidP="005A18C8">
      <w:pPr>
        <w:rPr>
          <w:sz w:val="22"/>
          <w:szCs w:val="22"/>
        </w:rPr>
      </w:pPr>
    </w:p>
    <w:p w:rsidR="005A18C8" w:rsidRPr="000C7281" w:rsidRDefault="005A18C8" w:rsidP="005A18C8">
      <w:pPr>
        <w:ind w:firstLine="567"/>
        <w:rPr>
          <w:sz w:val="22"/>
          <w:szCs w:val="22"/>
        </w:rPr>
      </w:pPr>
      <w:r w:rsidRPr="000C7281">
        <w:rPr>
          <w:sz w:val="22"/>
          <w:szCs w:val="22"/>
        </w:rPr>
        <w:t>The analysis method in this study used a multilevel regression analysis model, that is, the least squares regression with the following equation:</w:t>
      </w:r>
    </w:p>
    <w:p w:rsidR="005A18C8" w:rsidRPr="000C7281" w:rsidRDefault="005A18C8" w:rsidP="005A18C8">
      <w:pPr>
        <w:pStyle w:val="BodyTextIndent2"/>
        <w:spacing w:after="0" w:line="240" w:lineRule="auto"/>
        <w:ind w:left="709" w:hanging="709"/>
        <w:jc w:val="both"/>
        <w:rPr>
          <w:sz w:val="22"/>
          <w:szCs w:val="22"/>
          <w:lang w:val="id-ID"/>
        </w:rPr>
      </w:pPr>
      <w:r w:rsidRPr="000C7281">
        <w:rPr>
          <w:w w:val="102"/>
          <w:sz w:val="22"/>
          <w:szCs w:val="22"/>
          <w:lang w:val="id-ID"/>
        </w:rPr>
        <w:t>INOV</w:t>
      </w:r>
      <w:r w:rsidRPr="000C7281">
        <w:rPr>
          <w:w w:val="102"/>
          <w:sz w:val="22"/>
          <w:szCs w:val="22"/>
        </w:rPr>
        <w:t xml:space="preserve">= </w:t>
      </w:r>
      <w:r w:rsidRPr="000C7281">
        <w:rPr>
          <w:sz w:val="22"/>
          <w:szCs w:val="22"/>
        </w:rPr>
        <w:sym w:font="Symbol" w:char="F062"/>
      </w:r>
      <w:r w:rsidRPr="000C7281">
        <w:rPr>
          <w:w w:val="102"/>
          <w:sz w:val="22"/>
          <w:szCs w:val="22"/>
          <w:vertAlign w:val="subscript"/>
        </w:rPr>
        <w:t>0</w:t>
      </w:r>
      <w:r w:rsidRPr="000C7281">
        <w:rPr>
          <w:w w:val="102"/>
          <w:sz w:val="22"/>
          <w:szCs w:val="22"/>
        </w:rPr>
        <w:t xml:space="preserve"> +</w:t>
      </w:r>
      <w:r w:rsidRPr="000C7281">
        <w:rPr>
          <w:sz w:val="22"/>
          <w:szCs w:val="22"/>
        </w:rPr>
        <w:sym w:font="Symbol" w:char="F062"/>
      </w:r>
      <w:r w:rsidRPr="000C7281">
        <w:rPr>
          <w:w w:val="102"/>
          <w:sz w:val="22"/>
          <w:szCs w:val="22"/>
          <w:vertAlign w:val="subscript"/>
        </w:rPr>
        <w:t>1</w:t>
      </w:r>
      <w:r w:rsidRPr="000C7281">
        <w:rPr>
          <w:w w:val="102"/>
          <w:sz w:val="22"/>
          <w:szCs w:val="22"/>
          <w:lang w:val="id-ID"/>
        </w:rPr>
        <w:t>REG</w:t>
      </w:r>
      <w:r w:rsidRPr="000C7281">
        <w:rPr>
          <w:w w:val="102"/>
          <w:sz w:val="22"/>
          <w:szCs w:val="22"/>
        </w:rPr>
        <w:t xml:space="preserve"> +</w:t>
      </w:r>
      <w:r w:rsidRPr="000C7281">
        <w:rPr>
          <w:sz w:val="22"/>
          <w:szCs w:val="22"/>
        </w:rPr>
        <w:sym w:font="Symbol" w:char="F062"/>
      </w:r>
      <w:r w:rsidRPr="000C7281">
        <w:rPr>
          <w:w w:val="102"/>
          <w:sz w:val="22"/>
          <w:szCs w:val="22"/>
          <w:vertAlign w:val="subscript"/>
        </w:rPr>
        <w:t>2</w:t>
      </w:r>
      <w:r w:rsidRPr="000C7281">
        <w:rPr>
          <w:w w:val="102"/>
          <w:sz w:val="22"/>
          <w:szCs w:val="22"/>
          <w:lang w:val="id-ID"/>
        </w:rPr>
        <w:t>INF</w:t>
      </w:r>
      <w:r w:rsidRPr="000C7281">
        <w:rPr>
          <w:w w:val="102"/>
          <w:sz w:val="22"/>
          <w:szCs w:val="22"/>
        </w:rPr>
        <w:t>+</w:t>
      </w:r>
      <w:r w:rsidRPr="000C7281">
        <w:rPr>
          <w:sz w:val="22"/>
          <w:szCs w:val="22"/>
        </w:rPr>
        <w:sym w:font="Symbol" w:char="F062"/>
      </w:r>
      <w:r w:rsidRPr="000C7281">
        <w:rPr>
          <w:w w:val="102"/>
          <w:sz w:val="22"/>
          <w:szCs w:val="22"/>
          <w:vertAlign w:val="subscript"/>
        </w:rPr>
        <w:t>3</w:t>
      </w:r>
      <w:r w:rsidRPr="000C7281">
        <w:rPr>
          <w:w w:val="102"/>
          <w:sz w:val="22"/>
          <w:szCs w:val="22"/>
        </w:rPr>
        <w:t>MAN+</w:t>
      </w:r>
      <w:r w:rsidRPr="000C7281">
        <w:rPr>
          <w:sz w:val="22"/>
          <w:szCs w:val="22"/>
        </w:rPr>
        <w:sym w:font="Symbol" w:char="F062"/>
      </w:r>
      <w:r w:rsidRPr="000C7281">
        <w:rPr>
          <w:w w:val="102"/>
          <w:sz w:val="22"/>
          <w:szCs w:val="22"/>
          <w:vertAlign w:val="subscript"/>
        </w:rPr>
        <w:t>4</w:t>
      </w:r>
      <w:r w:rsidRPr="000C7281">
        <w:rPr>
          <w:w w:val="102"/>
          <w:sz w:val="22"/>
          <w:szCs w:val="22"/>
          <w:lang w:val="id-ID"/>
        </w:rPr>
        <w:t>CUL</w:t>
      </w:r>
      <w:r w:rsidRPr="000C7281">
        <w:rPr>
          <w:w w:val="102"/>
          <w:sz w:val="22"/>
          <w:szCs w:val="22"/>
        </w:rPr>
        <w:t>+</w:t>
      </w:r>
      <w:r w:rsidRPr="000C7281">
        <w:rPr>
          <w:sz w:val="22"/>
          <w:szCs w:val="22"/>
        </w:rPr>
        <w:sym w:font="Symbol" w:char="F062"/>
      </w:r>
      <w:r w:rsidRPr="000C7281">
        <w:rPr>
          <w:w w:val="102"/>
          <w:sz w:val="22"/>
          <w:szCs w:val="22"/>
          <w:vertAlign w:val="subscript"/>
        </w:rPr>
        <w:t>6</w:t>
      </w:r>
      <w:r w:rsidRPr="000C7281">
        <w:rPr>
          <w:w w:val="102"/>
          <w:sz w:val="22"/>
          <w:szCs w:val="22"/>
          <w:lang w:val="id-ID"/>
        </w:rPr>
        <w:t>KM</w:t>
      </w:r>
      <w:r w:rsidRPr="000C7281">
        <w:rPr>
          <w:w w:val="102"/>
          <w:sz w:val="22"/>
          <w:szCs w:val="22"/>
        </w:rPr>
        <w:t>+</w:t>
      </w:r>
      <w:r w:rsidRPr="000C7281">
        <w:rPr>
          <w:sz w:val="22"/>
          <w:szCs w:val="22"/>
          <w:lang w:val="fi-FI"/>
        </w:rPr>
        <w:sym w:font="Symbol" w:char="F065"/>
      </w:r>
      <w:r w:rsidRPr="000C7281">
        <w:rPr>
          <w:sz w:val="22"/>
          <w:szCs w:val="22"/>
          <w:lang w:val="id-ID"/>
        </w:rPr>
        <w:t>1</w:t>
      </w:r>
      <w:r w:rsidRPr="000C7281">
        <w:rPr>
          <w:sz w:val="22"/>
          <w:szCs w:val="22"/>
        </w:rPr>
        <w:tab/>
      </w:r>
      <w:r w:rsidRPr="000C7281">
        <w:rPr>
          <w:sz w:val="22"/>
          <w:szCs w:val="22"/>
        </w:rPr>
        <w:tab/>
      </w:r>
      <w:r w:rsidRPr="000C7281">
        <w:rPr>
          <w:sz w:val="22"/>
          <w:szCs w:val="22"/>
        </w:rPr>
        <w:tab/>
      </w:r>
      <w:r w:rsidRPr="000C7281">
        <w:rPr>
          <w:sz w:val="22"/>
          <w:szCs w:val="22"/>
        </w:rPr>
        <w:tab/>
      </w:r>
      <w:r w:rsidRPr="000C7281">
        <w:rPr>
          <w:sz w:val="22"/>
          <w:szCs w:val="22"/>
          <w:lang w:val="id-ID"/>
        </w:rPr>
        <w:t>(1)</w:t>
      </w:r>
    </w:p>
    <w:p w:rsidR="005A18C8" w:rsidRPr="000C7281" w:rsidRDefault="005A18C8" w:rsidP="005A18C8">
      <w:pPr>
        <w:pStyle w:val="BodyTextIndent2"/>
        <w:spacing w:after="0" w:line="240" w:lineRule="auto"/>
        <w:ind w:left="709" w:hanging="709"/>
        <w:jc w:val="both"/>
        <w:rPr>
          <w:rFonts w:eastAsia="MS Mincho"/>
          <w:sz w:val="22"/>
          <w:szCs w:val="22"/>
        </w:rPr>
      </w:pPr>
      <w:r w:rsidRPr="000C7281">
        <w:rPr>
          <w:w w:val="102"/>
          <w:sz w:val="22"/>
          <w:szCs w:val="22"/>
          <w:lang w:val="id-ID"/>
        </w:rPr>
        <w:t>Y</w:t>
      </w:r>
      <w:r w:rsidRPr="000C7281">
        <w:rPr>
          <w:w w:val="102"/>
          <w:sz w:val="22"/>
          <w:szCs w:val="22"/>
        </w:rPr>
        <w:t xml:space="preserve">= </w:t>
      </w:r>
      <w:r w:rsidRPr="000C7281">
        <w:rPr>
          <w:i/>
          <w:iCs/>
          <w:sz w:val="22"/>
          <w:szCs w:val="22"/>
        </w:rPr>
        <w:sym w:font="Symbol" w:char="F064"/>
      </w:r>
      <w:r w:rsidRPr="000C7281">
        <w:rPr>
          <w:w w:val="102"/>
          <w:sz w:val="22"/>
          <w:szCs w:val="22"/>
          <w:vertAlign w:val="subscript"/>
        </w:rPr>
        <w:t>0</w:t>
      </w:r>
      <w:r w:rsidRPr="000C7281">
        <w:rPr>
          <w:w w:val="102"/>
          <w:sz w:val="22"/>
          <w:szCs w:val="22"/>
        </w:rPr>
        <w:t xml:space="preserve"> +</w:t>
      </w:r>
      <w:r w:rsidRPr="000C7281">
        <w:rPr>
          <w:i/>
          <w:iCs/>
          <w:sz w:val="22"/>
          <w:szCs w:val="22"/>
        </w:rPr>
        <w:sym w:font="Symbol" w:char="F064"/>
      </w:r>
      <w:r w:rsidRPr="000C7281">
        <w:rPr>
          <w:w w:val="102"/>
          <w:sz w:val="22"/>
          <w:szCs w:val="22"/>
          <w:vertAlign w:val="subscript"/>
        </w:rPr>
        <w:t>1</w:t>
      </w:r>
      <w:r w:rsidRPr="000C7281">
        <w:rPr>
          <w:w w:val="102"/>
          <w:sz w:val="22"/>
          <w:szCs w:val="22"/>
          <w:lang w:val="id-ID"/>
        </w:rPr>
        <w:t>INOV</w:t>
      </w:r>
      <w:r w:rsidRPr="000C7281">
        <w:rPr>
          <w:w w:val="102"/>
          <w:sz w:val="22"/>
          <w:szCs w:val="22"/>
        </w:rPr>
        <w:t xml:space="preserve"> +</w:t>
      </w:r>
      <w:r w:rsidRPr="000C7281">
        <w:rPr>
          <w:sz w:val="22"/>
          <w:szCs w:val="22"/>
          <w:lang w:val="fi-FI"/>
        </w:rPr>
        <w:sym w:font="Symbol" w:char="F065"/>
      </w:r>
      <w:r w:rsidRPr="000C7281">
        <w:rPr>
          <w:sz w:val="22"/>
          <w:szCs w:val="22"/>
          <w:lang w:val="id-ID"/>
        </w:rPr>
        <w:t>2</w:t>
      </w:r>
      <w:r w:rsidRPr="000C7281">
        <w:rPr>
          <w:sz w:val="22"/>
          <w:szCs w:val="22"/>
          <w:lang w:val="id-ID"/>
        </w:rPr>
        <w:tab/>
      </w:r>
      <w:r w:rsidRPr="000C7281">
        <w:rPr>
          <w:sz w:val="22"/>
          <w:szCs w:val="22"/>
          <w:lang w:val="id-ID"/>
        </w:rPr>
        <w:tab/>
      </w:r>
      <w:r w:rsidRPr="000C7281">
        <w:rPr>
          <w:sz w:val="22"/>
          <w:szCs w:val="22"/>
          <w:lang w:val="id-ID"/>
        </w:rPr>
        <w:tab/>
      </w:r>
      <w:r w:rsidRPr="000C7281">
        <w:rPr>
          <w:sz w:val="22"/>
          <w:szCs w:val="22"/>
          <w:lang w:val="id-ID"/>
        </w:rPr>
        <w:tab/>
      </w:r>
      <w:r w:rsidRPr="000C7281">
        <w:rPr>
          <w:sz w:val="22"/>
          <w:szCs w:val="22"/>
          <w:lang w:val="id-ID"/>
        </w:rPr>
        <w:tab/>
      </w:r>
      <w:r w:rsidRPr="000C7281">
        <w:rPr>
          <w:sz w:val="22"/>
          <w:szCs w:val="22"/>
          <w:lang w:val="id-ID"/>
        </w:rPr>
        <w:tab/>
      </w:r>
      <w:r w:rsidRPr="000C7281">
        <w:rPr>
          <w:sz w:val="22"/>
          <w:szCs w:val="22"/>
          <w:lang w:val="id-ID"/>
        </w:rPr>
        <w:tab/>
      </w:r>
      <w:r w:rsidRPr="000C7281">
        <w:rPr>
          <w:sz w:val="22"/>
          <w:szCs w:val="22"/>
          <w:lang w:val="id-ID"/>
        </w:rPr>
        <w:tab/>
      </w:r>
      <w:r w:rsidRPr="000C7281">
        <w:rPr>
          <w:sz w:val="22"/>
          <w:szCs w:val="22"/>
          <w:lang w:val="id-ID"/>
        </w:rPr>
        <w:tab/>
        <w:t>(2)</w:t>
      </w:r>
    </w:p>
    <w:p w:rsidR="005A18C8" w:rsidRPr="000C7281" w:rsidRDefault="005A18C8" w:rsidP="005A18C8">
      <w:pPr>
        <w:rPr>
          <w:sz w:val="22"/>
          <w:szCs w:val="22"/>
        </w:rPr>
      </w:pPr>
    </w:p>
    <w:p w:rsidR="006459CF" w:rsidRPr="000C7281" w:rsidRDefault="005A18C8" w:rsidP="005A18C8">
      <w:pPr>
        <w:spacing w:after="240"/>
        <w:ind w:firstLine="360"/>
        <w:jc w:val="both"/>
        <w:rPr>
          <w:sz w:val="22"/>
          <w:szCs w:val="22"/>
          <w:lang w:val="en-GB"/>
        </w:rPr>
      </w:pPr>
      <w:r w:rsidRPr="000C7281">
        <w:rPr>
          <w:sz w:val="22"/>
          <w:szCs w:val="22"/>
        </w:rPr>
        <w:t xml:space="preserve">Where: </w:t>
      </w:r>
      <w:r w:rsidRPr="000C7281">
        <w:rPr>
          <w:i/>
          <w:w w:val="102"/>
          <w:sz w:val="22"/>
          <w:szCs w:val="22"/>
        </w:rPr>
        <w:t>α</w:t>
      </w:r>
      <w:r w:rsidRPr="000C7281">
        <w:rPr>
          <w:sz w:val="22"/>
          <w:szCs w:val="22"/>
        </w:rPr>
        <w:t xml:space="preserve">, β:intercept </w:t>
      </w:r>
      <w:r w:rsidRPr="000C7281">
        <w:rPr>
          <w:sz w:val="22"/>
          <w:szCs w:val="22"/>
          <w:lang w:val="en-GB"/>
        </w:rPr>
        <w:t>and</w:t>
      </w:r>
      <w:r w:rsidRPr="000C7281">
        <w:rPr>
          <w:sz w:val="22"/>
          <w:szCs w:val="22"/>
        </w:rPr>
        <w:t xml:space="preserve"> slope, </w:t>
      </w:r>
      <w:r w:rsidRPr="000C7281">
        <w:rPr>
          <w:sz w:val="22"/>
          <w:szCs w:val="22"/>
          <w:lang w:val="fi-FI"/>
        </w:rPr>
        <w:sym w:font="Symbol" w:char="F065"/>
      </w:r>
      <w:r w:rsidRPr="000C7281">
        <w:rPr>
          <w:sz w:val="22"/>
          <w:szCs w:val="22"/>
        </w:rPr>
        <w:t xml:space="preserve">:Error. </w:t>
      </w:r>
      <w:r w:rsidRPr="000C7281">
        <w:rPr>
          <w:sz w:val="22"/>
          <w:szCs w:val="22"/>
          <w:lang w:val="en-GB"/>
        </w:rPr>
        <w:t xml:space="preserve">To evaluate the accuracy of regression function toward observation value can be seen from the value of </w:t>
      </w:r>
      <w:r w:rsidRPr="000C7281">
        <w:rPr>
          <w:i/>
          <w:sz w:val="22"/>
          <w:szCs w:val="22"/>
        </w:rPr>
        <w:t>goodness fit</w:t>
      </w:r>
      <w:r w:rsidRPr="000C7281">
        <w:rPr>
          <w:sz w:val="22"/>
          <w:szCs w:val="22"/>
        </w:rPr>
        <w:t xml:space="preserve">. </w:t>
      </w:r>
      <w:r w:rsidRPr="000C7281">
        <w:rPr>
          <w:sz w:val="22"/>
          <w:szCs w:val="22"/>
          <w:lang w:val="en-GB"/>
        </w:rPr>
        <w:t xml:space="preserve">The statistic of </w:t>
      </w:r>
      <w:r w:rsidRPr="000C7281">
        <w:rPr>
          <w:i/>
          <w:sz w:val="22"/>
          <w:szCs w:val="22"/>
        </w:rPr>
        <w:t xml:space="preserve">goodness of fit </w:t>
      </w:r>
      <w:r w:rsidRPr="000C7281">
        <w:rPr>
          <w:sz w:val="22"/>
          <w:szCs w:val="22"/>
          <w:lang w:val="en-GB"/>
        </w:rPr>
        <w:t xml:space="preserve">is measured from F statistic value and determination coefficient. The determination coefficient </w:t>
      </w:r>
      <w:r w:rsidRPr="000C7281">
        <w:rPr>
          <w:sz w:val="22"/>
          <w:szCs w:val="22"/>
        </w:rPr>
        <w:t xml:space="preserve">(R²) </w:t>
      </w:r>
      <w:r w:rsidRPr="000C7281">
        <w:rPr>
          <w:sz w:val="22"/>
          <w:szCs w:val="22"/>
          <w:lang w:val="en-GB"/>
        </w:rPr>
        <w:t xml:space="preserve">is used to decide percentage deviation of dependent variable that is caused by independent variable. The test of </w:t>
      </w:r>
      <w:r w:rsidRPr="000C7281">
        <w:rPr>
          <w:sz w:val="22"/>
          <w:szCs w:val="22"/>
        </w:rPr>
        <w:t xml:space="preserve">F </w:t>
      </w:r>
      <w:r w:rsidRPr="000C7281">
        <w:rPr>
          <w:sz w:val="22"/>
          <w:szCs w:val="22"/>
          <w:lang w:val="en-GB"/>
        </w:rPr>
        <w:t xml:space="preserve">is the formula significance test that is used to determine how independent variable affects the dependent variable </w:t>
      </w:r>
      <w:r w:rsidRPr="000C7281">
        <w:rPr>
          <w:sz w:val="22"/>
          <w:szCs w:val="22"/>
        </w:rPr>
        <w:t xml:space="preserve">(Y). </w:t>
      </w:r>
      <w:r w:rsidRPr="000C7281">
        <w:rPr>
          <w:i/>
          <w:sz w:val="22"/>
          <w:szCs w:val="22"/>
        </w:rPr>
        <w:t>P-value</w:t>
      </w:r>
      <w:r w:rsidRPr="000C7281">
        <w:rPr>
          <w:sz w:val="22"/>
          <w:szCs w:val="22"/>
          <w:lang w:val="en-GB"/>
        </w:rPr>
        <w:t xml:space="preserve">is the probability to refute zero hypotheses if the test is presumably correct. The significant level is </w:t>
      </w:r>
      <w:r w:rsidRPr="000C7281">
        <w:rPr>
          <w:sz w:val="22"/>
          <w:szCs w:val="22"/>
        </w:rPr>
        <w:t>1% (</w:t>
      </w:r>
      <w:r w:rsidRPr="000C7281">
        <w:rPr>
          <w:sz w:val="22"/>
          <w:szCs w:val="22"/>
          <w:lang w:val="en-GB"/>
        </w:rPr>
        <w:t>very significant</w:t>
      </w:r>
      <w:r w:rsidRPr="000C7281">
        <w:rPr>
          <w:sz w:val="22"/>
          <w:szCs w:val="22"/>
        </w:rPr>
        <w:t xml:space="preserve">), 5% </w:t>
      </w:r>
      <w:r w:rsidRPr="000C7281">
        <w:rPr>
          <w:sz w:val="22"/>
          <w:szCs w:val="22"/>
        </w:rPr>
        <w:lastRenderedPageBreak/>
        <w:t>(</w:t>
      </w:r>
      <w:r w:rsidRPr="000C7281">
        <w:rPr>
          <w:sz w:val="22"/>
          <w:szCs w:val="22"/>
          <w:lang w:val="en-GB"/>
        </w:rPr>
        <w:t>significant</w:t>
      </w:r>
      <w:r w:rsidRPr="000C7281">
        <w:rPr>
          <w:sz w:val="22"/>
          <w:szCs w:val="22"/>
        </w:rPr>
        <w:t xml:space="preserve">) </w:t>
      </w:r>
      <w:r w:rsidRPr="000C7281">
        <w:rPr>
          <w:sz w:val="22"/>
          <w:szCs w:val="22"/>
          <w:lang w:val="en-GB"/>
        </w:rPr>
        <w:t xml:space="preserve">and </w:t>
      </w:r>
      <w:r w:rsidRPr="000C7281">
        <w:rPr>
          <w:sz w:val="22"/>
          <w:szCs w:val="22"/>
        </w:rPr>
        <w:t>10% (</w:t>
      </w:r>
      <w:r w:rsidRPr="000C7281">
        <w:rPr>
          <w:sz w:val="22"/>
          <w:szCs w:val="22"/>
          <w:lang w:val="en-GB"/>
        </w:rPr>
        <w:t>moderate significant</w:t>
      </w:r>
      <w:r w:rsidRPr="000C7281">
        <w:rPr>
          <w:sz w:val="22"/>
          <w:szCs w:val="22"/>
        </w:rPr>
        <w:t xml:space="preserve">). </w:t>
      </w:r>
      <w:r w:rsidRPr="000C7281">
        <w:rPr>
          <w:sz w:val="22"/>
          <w:szCs w:val="22"/>
          <w:lang w:val="en-GB"/>
        </w:rPr>
        <w:t xml:space="preserve">If </w:t>
      </w:r>
      <w:r w:rsidRPr="000C7281">
        <w:rPr>
          <w:sz w:val="22"/>
          <w:szCs w:val="22"/>
        </w:rPr>
        <w:t xml:space="preserve">p </w:t>
      </w:r>
      <w:r w:rsidRPr="000C7281">
        <w:rPr>
          <w:sz w:val="22"/>
          <w:szCs w:val="22"/>
          <w:lang w:val="en-GB"/>
        </w:rPr>
        <w:t>value is less than significant level, the researcher will conclude that the observed influence depicts the population characteristic not only the error sampling.</w:t>
      </w:r>
    </w:p>
    <w:p w:rsidR="00F50430" w:rsidRDefault="00F50430" w:rsidP="005A18C8">
      <w:pPr>
        <w:spacing w:after="240"/>
        <w:ind w:firstLine="360"/>
        <w:jc w:val="both"/>
        <w:rPr>
          <w:b/>
          <w:i/>
          <w:sz w:val="22"/>
          <w:szCs w:val="22"/>
        </w:rPr>
      </w:pPr>
    </w:p>
    <w:p w:rsidR="005C37EA" w:rsidRDefault="005C37EA" w:rsidP="005A18C8">
      <w:pPr>
        <w:spacing w:after="240"/>
        <w:ind w:firstLine="360"/>
        <w:jc w:val="both"/>
        <w:rPr>
          <w:b/>
          <w:i/>
          <w:sz w:val="22"/>
          <w:szCs w:val="22"/>
        </w:rPr>
      </w:pPr>
    </w:p>
    <w:p w:rsidR="00D73172" w:rsidRPr="000C7281" w:rsidRDefault="00ED52C1" w:rsidP="00ED52C1">
      <w:pPr>
        <w:pStyle w:val="Heading1"/>
        <w:numPr>
          <w:ilvl w:val="0"/>
          <w:numId w:val="2"/>
        </w:numPr>
        <w:suppressAutoHyphens/>
        <w:spacing w:after="60"/>
        <w:ind w:left="270" w:hanging="270"/>
        <w:rPr>
          <w:i w:val="0"/>
          <w:sz w:val="22"/>
          <w:szCs w:val="22"/>
        </w:rPr>
      </w:pPr>
      <w:r w:rsidRPr="000C7281">
        <w:rPr>
          <w:i w:val="0"/>
          <w:sz w:val="22"/>
          <w:szCs w:val="22"/>
        </w:rPr>
        <w:t>RESULTS AND DISCUSSION</w:t>
      </w:r>
    </w:p>
    <w:p w:rsidR="00467D33" w:rsidRPr="000C7281" w:rsidRDefault="00670614" w:rsidP="00172522">
      <w:pPr>
        <w:spacing w:after="240"/>
        <w:ind w:firstLine="360"/>
        <w:jc w:val="both"/>
        <w:rPr>
          <w:b/>
          <w:sz w:val="22"/>
          <w:szCs w:val="22"/>
        </w:rPr>
      </w:pPr>
      <w:r w:rsidRPr="000C7281">
        <w:rPr>
          <w:b/>
          <w:sz w:val="22"/>
          <w:szCs w:val="22"/>
        </w:rPr>
        <w:t xml:space="preserve">3.1 </w:t>
      </w:r>
      <w:r w:rsidR="00915E57" w:rsidRPr="000C7281">
        <w:rPr>
          <w:b/>
          <w:sz w:val="22"/>
          <w:szCs w:val="22"/>
        </w:rPr>
        <w:t>Results</w:t>
      </w:r>
    </w:p>
    <w:p w:rsidR="00172522" w:rsidRPr="000C7281" w:rsidRDefault="00172522" w:rsidP="00172522">
      <w:pPr>
        <w:spacing w:after="240"/>
        <w:ind w:firstLine="426"/>
        <w:jc w:val="both"/>
        <w:rPr>
          <w:sz w:val="22"/>
          <w:szCs w:val="22"/>
        </w:rPr>
      </w:pPr>
      <w:r w:rsidRPr="000C7281">
        <w:rPr>
          <w:sz w:val="22"/>
          <w:szCs w:val="22"/>
        </w:rPr>
        <w:t xml:space="preserve">The average accumulation of assets in Economic Institutions in rural areas in Semarang Regency was </w:t>
      </w:r>
      <w:r w:rsidRPr="000C7281">
        <w:rPr>
          <w:sz w:val="22"/>
          <w:szCs w:val="22"/>
          <w:lang w:val="id-ID"/>
        </w:rPr>
        <w:t>37</w:t>
      </w:r>
      <w:r w:rsidRPr="000C7281">
        <w:rPr>
          <w:sz w:val="22"/>
          <w:szCs w:val="22"/>
        </w:rPr>
        <w:t xml:space="preserve">% compared to the initial capital. The initial capital itself came from the government and self-help capital. Innovation Capacity of rural economic institutions in general was low (mean = </w:t>
      </w:r>
      <w:r w:rsidRPr="000C7281">
        <w:rPr>
          <w:sz w:val="22"/>
          <w:szCs w:val="22"/>
          <w:lang w:val="id-ID"/>
        </w:rPr>
        <w:t>2</w:t>
      </w:r>
      <w:bookmarkStart w:id="0" w:name="_GoBack"/>
      <w:bookmarkEnd w:id="0"/>
      <w:r w:rsidRPr="000C7281">
        <w:rPr>
          <w:sz w:val="22"/>
          <w:szCs w:val="22"/>
        </w:rPr>
        <w:t>.</w:t>
      </w:r>
      <w:r w:rsidRPr="000C7281">
        <w:rPr>
          <w:sz w:val="22"/>
          <w:szCs w:val="22"/>
          <w:lang w:val="id-ID"/>
        </w:rPr>
        <w:t>21</w:t>
      </w:r>
      <w:r w:rsidRPr="000C7281">
        <w:rPr>
          <w:sz w:val="22"/>
          <w:szCs w:val="22"/>
        </w:rPr>
        <w:t>)</w:t>
      </w:r>
      <w:r w:rsidRPr="000C7281">
        <w:rPr>
          <w:sz w:val="22"/>
          <w:szCs w:val="22"/>
          <w:lang w:val="id-ID"/>
        </w:rPr>
        <w:t>.</w:t>
      </w:r>
      <w:r w:rsidRPr="000C7281">
        <w:rPr>
          <w:sz w:val="22"/>
          <w:szCs w:val="22"/>
        </w:rPr>
        <w:t xml:space="preserve"> In general, economic institutions in rural areas in Semarang Regency have low capacity in product/service innovation (average = 1.23) and process innovations (average = 1.19). Innovation capacity consisted of product and service innovation and process innovation. Product innovation included management of coffee commodities, agro tourism, and waste management for economic value. Process innovation, then, encompassed some aspects such as price control, product quality control, packaging, post-harvest technology adoption, and marketing innovation.</w:t>
      </w:r>
    </w:p>
    <w:p w:rsidR="00172522" w:rsidRPr="000C7281" w:rsidRDefault="00172522" w:rsidP="00172522">
      <w:pPr>
        <w:spacing w:after="240"/>
        <w:jc w:val="both"/>
        <w:rPr>
          <w:sz w:val="22"/>
          <w:szCs w:val="22"/>
        </w:rPr>
      </w:pPr>
      <w:r w:rsidRPr="000C7281">
        <w:rPr>
          <w:sz w:val="22"/>
          <w:szCs w:val="22"/>
        </w:rPr>
        <w:t>Table2</w:t>
      </w:r>
      <w:r w:rsidR="00DC09AC" w:rsidRPr="000C7281">
        <w:rPr>
          <w:sz w:val="22"/>
          <w:szCs w:val="22"/>
          <w:lang w:val="id-ID"/>
        </w:rPr>
        <w:t xml:space="preserve">. </w:t>
      </w:r>
      <w:r w:rsidRPr="000C7281">
        <w:rPr>
          <w:sz w:val="22"/>
          <w:szCs w:val="22"/>
        </w:rPr>
        <w:t>Descriptive statistics</w:t>
      </w:r>
    </w:p>
    <w:tbl>
      <w:tblPr>
        <w:tblW w:w="8540" w:type="dxa"/>
        <w:tblLook w:val="04A0"/>
      </w:tblPr>
      <w:tblGrid>
        <w:gridCol w:w="6140"/>
        <w:gridCol w:w="1200"/>
        <w:gridCol w:w="1200"/>
      </w:tblGrid>
      <w:tr w:rsidR="000C7281" w:rsidRPr="000C7281" w:rsidTr="00F81D72">
        <w:trPr>
          <w:trHeight w:val="300"/>
        </w:trPr>
        <w:tc>
          <w:tcPr>
            <w:tcW w:w="6140" w:type="dxa"/>
            <w:tcBorders>
              <w:top w:val="single" w:sz="4" w:space="0" w:color="auto"/>
              <w:left w:val="nil"/>
              <w:bottom w:val="single" w:sz="4" w:space="0" w:color="auto"/>
              <w:right w:val="nil"/>
            </w:tcBorders>
            <w:shd w:val="clear" w:color="auto" w:fill="auto"/>
            <w:noWrap/>
            <w:vAlign w:val="center"/>
            <w:hideMark/>
          </w:tcPr>
          <w:p w:rsidR="00172522" w:rsidRPr="000C7281" w:rsidRDefault="00172522" w:rsidP="00172522">
            <w:pPr>
              <w:jc w:val="both"/>
              <w:rPr>
                <w:b/>
                <w:bCs/>
                <w:sz w:val="22"/>
                <w:szCs w:val="22"/>
                <w:lang w:val="id-ID" w:eastAsia="id-ID"/>
              </w:rPr>
            </w:pPr>
            <w:r w:rsidRPr="000C7281">
              <w:rPr>
                <w:b/>
                <w:bCs/>
                <w:sz w:val="22"/>
                <w:szCs w:val="22"/>
                <w:lang w:val="id-ID" w:eastAsia="id-ID"/>
              </w:rPr>
              <w:t xml:space="preserve">Variables </w:t>
            </w:r>
          </w:p>
        </w:tc>
        <w:tc>
          <w:tcPr>
            <w:tcW w:w="1200" w:type="dxa"/>
            <w:tcBorders>
              <w:top w:val="single" w:sz="4" w:space="0" w:color="auto"/>
              <w:left w:val="nil"/>
              <w:bottom w:val="single" w:sz="4" w:space="0" w:color="auto"/>
              <w:right w:val="nil"/>
            </w:tcBorders>
            <w:shd w:val="clear" w:color="auto" w:fill="auto"/>
            <w:vAlign w:val="center"/>
            <w:hideMark/>
          </w:tcPr>
          <w:p w:rsidR="00172522" w:rsidRPr="000C7281" w:rsidRDefault="00172522" w:rsidP="00172522">
            <w:pPr>
              <w:jc w:val="both"/>
              <w:rPr>
                <w:b/>
                <w:bCs/>
                <w:sz w:val="22"/>
                <w:szCs w:val="22"/>
                <w:lang w:val="id-ID" w:eastAsia="id-ID"/>
              </w:rPr>
            </w:pPr>
            <w:r w:rsidRPr="000C7281">
              <w:rPr>
                <w:b/>
                <w:bCs/>
                <w:sz w:val="22"/>
                <w:szCs w:val="22"/>
                <w:lang w:eastAsia="id-ID"/>
              </w:rPr>
              <w:t> MEAN</w:t>
            </w:r>
          </w:p>
        </w:tc>
        <w:tc>
          <w:tcPr>
            <w:tcW w:w="1200" w:type="dxa"/>
            <w:tcBorders>
              <w:top w:val="single" w:sz="4" w:space="0" w:color="auto"/>
              <w:left w:val="nil"/>
              <w:bottom w:val="single" w:sz="4" w:space="0" w:color="auto"/>
              <w:right w:val="nil"/>
            </w:tcBorders>
            <w:shd w:val="clear" w:color="auto" w:fill="auto"/>
            <w:vAlign w:val="center"/>
            <w:hideMark/>
          </w:tcPr>
          <w:p w:rsidR="00172522" w:rsidRPr="000C7281" w:rsidRDefault="00172522" w:rsidP="00172522">
            <w:pPr>
              <w:jc w:val="both"/>
              <w:rPr>
                <w:b/>
                <w:bCs/>
                <w:sz w:val="22"/>
                <w:szCs w:val="22"/>
                <w:lang w:val="id-ID" w:eastAsia="id-ID"/>
              </w:rPr>
            </w:pPr>
            <w:r w:rsidRPr="000C7281">
              <w:rPr>
                <w:b/>
                <w:bCs/>
                <w:sz w:val="22"/>
                <w:szCs w:val="22"/>
                <w:lang w:eastAsia="id-ID"/>
              </w:rPr>
              <w:t> SD</w:t>
            </w:r>
          </w:p>
        </w:tc>
      </w:tr>
      <w:tr w:rsidR="000C7281" w:rsidRPr="000C7281" w:rsidTr="00F81D72">
        <w:trPr>
          <w:trHeight w:val="300"/>
        </w:trPr>
        <w:tc>
          <w:tcPr>
            <w:tcW w:w="6140" w:type="dxa"/>
            <w:tcBorders>
              <w:top w:val="nil"/>
              <w:left w:val="nil"/>
              <w:bottom w:val="nil"/>
              <w:right w:val="nil"/>
            </w:tcBorders>
            <w:shd w:val="clear" w:color="auto" w:fill="auto"/>
            <w:noWrap/>
            <w:vAlign w:val="center"/>
            <w:hideMark/>
          </w:tcPr>
          <w:p w:rsidR="00172522" w:rsidRPr="000C7281" w:rsidRDefault="00172522" w:rsidP="00172522">
            <w:pPr>
              <w:ind w:leftChars="-45" w:left="9" w:hangingChars="53" w:hanging="117"/>
              <w:jc w:val="both"/>
              <w:rPr>
                <w:b/>
                <w:sz w:val="22"/>
                <w:szCs w:val="22"/>
                <w:lang w:val="id-ID" w:eastAsia="id-ID"/>
              </w:rPr>
            </w:pPr>
            <w:r w:rsidRPr="000C7281">
              <w:rPr>
                <w:b/>
                <w:sz w:val="22"/>
                <w:szCs w:val="22"/>
                <w:lang/>
              </w:rPr>
              <w:t>Institutional Performance</w:t>
            </w:r>
            <w:r w:rsidRPr="000C7281">
              <w:rPr>
                <w:b/>
                <w:sz w:val="22"/>
                <w:szCs w:val="22"/>
                <w:lang w:val="id-ID" w:eastAsia="id-ID"/>
              </w:rPr>
              <w:t>(Y)</w:t>
            </w:r>
          </w:p>
        </w:tc>
        <w:tc>
          <w:tcPr>
            <w:tcW w:w="1200" w:type="dxa"/>
            <w:tcBorders>
              <w:top w:val="nil"/>
              <w:left w:val="nil"/>
              <w:bottom w:val="nil"/>
              <w:right w:val="nil"/>
            </w:tcBorders>
            <w:shd w:val="clear" w:color="auto" w:fill="auto"/>
            <w:noWrap/>
            <w:vAlign w:val="bottom"/>
            <w:hideMark/>
          </w:tcPr>
          <w:p w:rsidR="00172522" w:rsidRPr="000C7281" w:rsidRDefault="00172522" w:rsidP="00172522">
            <w:pPr>
              <w:jc w:val="both"/>
              <w:rPr>
                <w:b/>
                <w:bCs/>
                <w:sz w:val="22"/>
                <w:szCs w:val="22"/>
                <w:lang w:val="id-ID" w:eastAsia="id-ID"/>
              </w:rPr>
            </w:pPr>
          </w:p>
        </w:tc>
        <w:tc>
          <w:tcPr>
            <w:tcW w:w="1200" w:type="dxa"/>
            <w:tcBorders>
              <w:top w:val="nil"/>
              <w:left w:val="nil"/>
              <w:bottom w:val="nil"/>
              <w:right w:val="nil"/>
            </w:tcBorders>
            <w:shd w:val="clear" w:color="auto" w:fill="auto"/>
            <w:noWrap/>
            <w:vAlign w:val="bottom"/>
            <w:hideMark/>
          </w:tcPr>
          <w:p w:rsidR="00172522" w:rsidRPr="000C7281" w:rsidRDefault="00172522" w:rsidP="00172522">
            <w:pPr>
              <w:jc w:val="both"/>
              <w:rPr>
                <w:sz w:val="22"/>
                <w:szCs w:val="22"/>
                <w:lang w:val="id-ID" w:eastAsia="id-ID"/>
              </w:rPr>
            </w:pPr>
          </w:p>
        </w:tc>
      </w:tr>
      <w:tr w:rsidR="000C7281" w:rsidRPr="000C7281" w:rsidTr="00F81D72">
        <w:trPr>
          <w:trHeight w:val="300"/>
        </w:trPr>
        <w:tc>
          <w:tcPr>
            <w:tcW w:w="6140" w:type="dxa"/>
            <w:tcBorders>
              <w:top w:val="nil"/>
              <w:left w:val="nil"/>
              <w:bottom w:val="single" w:sz="4" w:space="0" w:color="auto"/>
              <w:right w:val="nil"/>
            </w:tcBorders>
            <w:shd w:val="clear" w:color="auto" w:fill="auto"/>
            <w:noWrap/>
            <w:vAlign w:val="center"/>
            <w:hideMark/>
          </w:tcPr>
          <w:p w:rsidR="00172522" w:rsidRPr="000C7281" w:rsidRDefault="00172522" w:rsidP="00172522">
            <w:pPr>
              <w:ind w:firstLineChars="100" w:firstLine="220"/>
              <w:jc w:val="both"/>
              <w:rPr>
                <w:sz w:val="22"/>
                <w:szCs w:val="22"/>
                <w:lang w:val="id-ID" w:eastAsia="id-ID"/>
              </w:rPr>
            </w:pPr>
            <w:r w:rsidRPr="000C7281">
              <w:rPr>
                <w:sz w:val="22"/>
                <w:szCs w:val="22"/>
                <w:lang w:eastAsia="id-ID"/>
              </w:rPr>
              <w:t>Asset accumulation</w:t>
            </w:r>
            <w:r w:rsidRPr="000C7281">
              <w:rPr>
                <w:sz w:val="22"/>
                <w:szCs w:val="22"/>
                <w:lang w:val="id-ID" w:eastAsia="id-ID"/>
              </w:rPr>
              <w:t xml:space="preserve"> (%)</w:t>
            </w:r>
          </w:p>
        </w:tc>
        <w:tc>
          <w:tcPr>
            <w:tcW w:w="1200" w:type="dxa"/>
            <w:tcBorders>
              <w:top w:val="nil"/>
              <w:left w:val="nil"/>
              <w:bottom w:val="single" w:sz="4" w:space="0" w:color="auto"/>
              <w:right w:val="nil"/>
            </w:tcBorders>
            <w:shd w:val="clear" w:color="auto" w:fill="auto"/>
            <w:noWrap/>
            <w:hideMark/>
          </w:tcPr>
          <w:p w:rsidR="00172522" w:rsidRPr="000C7281" w:rsidRDefault="00172522" w:rsidP="00172522">
            <w:pPr>
              <w:jc w:val="both"/>
              <w:rPr>
                <w:sz w:val="22"/>
                <w:szCs w:val="22"/>
                <w:lang w:val="id-ID"/>
              </w:rPr>
            </w:pPr>
            <w:r w:rsidRPr="000C7281">
              <w:rPr>
                <w:sz w:val="22"/>
                <w:szCs w:val="22"/>
              </w:rPr>
              <w:t>0.37</w:t>
            </w:r>
          </w:p>
        </w:tc>
        <w:tc>
          <w:tcPr>
            <w:tcW w:w="1200" w:type="dxa"/>
            <w:tcBorders>
              <w:top w:val="nil"/>
              <w:left w:val="nil"/>
              <w:bottom w:val="single" w:sz="4" w:space="0" w:color="auto"/>
              <w:right w:val="nil"/>
            </w:tcBorders>
            <w:shd w:val="clear" w:color="auto" w:fill="auto"/>
            <w:noWrap/>
            <w:hideMark/>
          </w:tcPr>
          <w:p w:rsidR="00172522" w:rsidRPr="000C7281" w:rsidRDefault="00172522" w:rsidP="00172522">
            <w:pPr>
              <w:jc w:val="both"/>
              <w:rPr>
                <w:sz w:val="22"/>
                <w:szCs w:val="22"/>
              </w:rPr>
            </w:pPr>
            <w:r w:rsidRPr="000C7281">
              <w:rPr>
                <w:sz w:val="22"/>
                <w:szCs w:val="22"/>
              </w:rPr>
              <w:t>0.34</w:t>
            </w:r>
          </w:p>
        </w:tc>
      </w:tr>
      <w:tr w:rsidR="00172522" w:rsidRPr="000C7281" w:rsidTr="00F81D72">
        <w:trPr>
          <w:trHeight w:val="300"/>
        </w:trPr>
        <w:tc>
          <w:tcPr>
            <w:tcW w:w="6140" w:type="dxa"/>
            <w:tcBorders>
              <w:top w:val="nil"/>
              <w:left w:val="nil"/>
              <w:bottom w:val="nil"/>
              <w:right w:val="nil"/>
            </w:tcBorders>
            <w:shd w:val="clear" w:color="auto" w:fill="auto"/>
            <w:noWrap/>
            <w:vAlign w:val="center"/>
            <w:hideMark/>
          </w:tcPr>
          <w:p w:rsidR="00172522" w:rsidRPr="000C7281" w:rsidRDefault="00172522" w:rsidP="00172522">
            <w:pPr>
              <w:ind w:leftChars="-45" w:left="9" w:hangingChars="53" w:hanging="117"/>
              <w:jc w:val="both"/>
              <w:rPr>
                <w:b/>
                <w:sz w:val="22"/>
                <w:szCs w:val="22"/>
                <w:lang w:val="id-ID" w:eastAsia="id-ID"/>
              </w:rPr>
            </w:pPr>
            <w:r w:rsidRPr="000C7281">
              <w:rPr>
                <w:b/>
                <w:bCs/>
                <w:sz w:val="22"/>
                <w:szCs w:val="22"/>
                <w:lang w:val="en-GB" w:eastAsia="id-ID"/>
              </w:rPr>
              <w:t xml:space="preserve">Innovation </w:t>
            </w:r>
            <w:r w:rsidRPr="000C7281">
              <w:rPr>
                <w:b/>
                <w:bCs/>
                <w:sz w:val="22"/>
                <w:szCs w:val="22"/>
                <w:lang w:eastAsia="id-ID"/>
              </w:rPr>
              <w:t>Capacity</w:t>
            </w:r>
            <w:r w:rsidRPr="000C7281">
              <w:rPr>
                <w:b/>
                <w:sz w:val="22"/>
                <w:szCs w:val="22"/>
                <w:lang w:val="id-ID" w:eastAsia="id-ID"/>
              </w:rPr>
              <w:t>(INOV)</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b/>
                <w:bCs/>
                <w:sz w:val="22"/>
                <w:szCs w:val="22"/>
              </w:rPr>
            </w:pPr>
            <w:r w:rsidRPr="000C7281">
              <w:rPr>
                <w:b/>
                <w:bCs/>
                <w:sz w:val="22"/>
                <w:szCs w:val="22"/>
              </w:rPr>
              <w:t>1.21</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b/>
                <w:bCs/>
                <w:sz w:val="22"/>
                <w:szCs w:val="22"/>
              </w:rPr>
            </w:pPr>
            <w:r w:rsidRPr="000C7281">
              <w:rPr>
                <w:b/>
                <w:bCs/>
                <w:sz w:val="22"/>
                <w:szCs w:val="22"/>
              </w:rPr>
              <w:t>0.49</w:t>
            </w:r>
          </w:p>
        </w:tc>
      </w:tr>
      <w:tr w:rsidR="00172522" w:rsidRPr="000C7281" w:rsidTr="00F81D72">
        <w:trPr>
          <w:trHeight w:val="300"/>
        </w:trPr>
        <w:tc>
          <w:tcPr>
            <w:tcW w:w="6140" w:type="dxa"/>
            <w:tcBorders>
              <w:top w:val="nil"/>
              <w:left w:val="nil"/>
              <w:bottom w:val="nil"/>
              <w:right w:val="nil"/>
            </w:tcBorders>
            <w:shd w:val="clear" w:color="auto" w:fill="auto"/>
            <w:noWrap/>
            <w:vAlign w:val="center"/>
            <w:hideMark/>
          </w:tcPr>
          <w:p w:rsidR="00172522" w:rsidRPr="000C7281" w:rsidRDefault="00172522" w:rsidP="00172522">
            <w:pPr>
              <w:pStyle w:val="ListParagraph"/>
              <w:ind w:left="318"/>
              <w:contextualSpacing w:val="0"/>
              <w:jc w:val="both"/>
              <w:rPr>
                <w:sz w:val="22"/>
                <w:szCs w:val="22"/>
                <w:lang w:val="id-ID" w:eastAsia="id-ID"/>
              </w:rPr>
            </w:pPr>
            <w:r w:rsidRPr="000C7281">
              <w:rPr>
                <w:sz w:val="22"/>
                <w:szCs w:val="22"/>
                <w:lang w:eastAsia="id-ID"/>
              </w:rPr>
              <w:t>Product and service innovation</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sz w:val="22"/>
                <w:szCs w:val="22"/>
              </w:rPr>
            </w:pPr>
            <w:r w:rsidRPr="000C7281">
              <w:rPr>
                <w:sz w:val="22"/>
                <w:szCs w:val="22"/>
              </w:rPr>
              <w:t>1.23</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sz w:val="22"/>
                <w:szCs w:val="22"/>
              </w:rPr>
            </w:pPr>
            <w:r w:rsidRPr="000C7281">
              <w:rPr>
                <w:sz w:val="22"/>
                <w:szCs w:val="22"/>
              </w:rPr>
              <w:t>0.54</w:t>
            </w:r>
          </w:p>
        </w:tc>
      </w:tr>
      <w:tr w:rsidR="00172522" w:rsidRPr="000C7281" w:rsidTr="00F81D72">
        <w:trPr>
          <w:trHeight w:val="300"/>
        </w:trPr>
        <w:tc>
          <w:tcPr>
            <w:tcW w:w="6140" w:type="dxa"/>
            <w:tcBorders>
              <w:top w:val="nil"/>
              <w:left w:val="nil"/>
              <w:bottom w:val="single" w:sz="4" w:space="0" w:color="auto"/>
              <w:right w:val="nil"/>
            </w:tcBorders>
            <w:shd w:val="clear" w:color="auto" w:fill="auto"/>
            <w:noWrap/>
            <w:vAlign w:val="center"/>
            <w:hideMark/>
          </w:tcPr>
          <w:p w:rsidR="00172522" w:rsidRPr="000C7281" w:rsidRDefault="00172522" w:rsidP="00172522">
            <w:pPr>
              <w:pStyle w:val="ListParagraph"/>
              <w:ind w:left="318"/>
              <w:contextualSpacing w:val="0"/>
              <w:jc w:val="both"/>
              <w:rPr>
                <w:sz w:val="22"/>
                <w:szCs w:val="22"/>
                <w:lang w:val="id-ID" w:eastAsia="id-ID"/>
              </w:rPr>
            </w:pPr>
            <w:r w:rsidRPr="000C7281">
              <w:rPr>
                <w:sz w:val="22"/>
                <w:szCs w:val="22"/>
                <w:lang w:val="id-ID" w:eastAsia="id-ID"/>
              </w:rPr>
              <w:t xml:space="preserve">Process innovations </w:t>
            </w:r>
          </w:p>
        </w:tc>
        <w:tc>
          <w:tcPr>
            <w:tcW w:w="1200" w:type="dxa"/>
            <w:tcBorders>
              <w:top w:val="nil"/>
              <w:left w:val="nil"/>
              <w:bottom w:val="single" w:sz="4" w:space="0" w:color="auto"/>
              <w:right w:val="nil"/>
            </w:tcBorders>
            <w:shd w:val="clear" w:color="auto" w:fill="auto"/>
            <w:noWrap/>
            <w:hideMark/>
          </w:tcPr>
          <w:p w:rsidR="00172522" w:rsidRPr="000C7281" w:rsidRDefault="00172522" w:rsidP="00172522">
            <w:pPr>
              <w:jc w:val="both"/>
              <w:rPr>
                <w:sz w:val="22"/>
                <w:szCs w:val="22"/>
              </w:rPr>
            </w:pPr>
            <w:r w:rsidRPr="000C7281">
              <w:rPr>
                <w:sz w:val="22"/>
                <w:szCs w:val="22"/>
              </w:rPr>
              <w:t>1.19</w:t>
            </w:r>
          </w:p>
        </w:tc>
        <w:tc>
          <w:tcPr>
            <w:tcW w:w="1200" w:type="dxa"/>
            <w:tcBorders>
              <w:top w:val="nil"/>
              <w:left w:val="nil"/>
              <w:bottom w:val="single" w:sz="4" w:space="0" w:color="auto"/>
              <w:right w:val="nil"/>
            </w:tcBorders>
            <w:shd w:val="clear" w:color="auto" w:fill="auto"/>
            <w:noWrap/>
            <w:hideMark/>
          </w:tcPr>
          <w:p w:rsidR="00172522" w:rsidRPr="000C7281" w:rsidRDefault="00172522" w:rsidP="00172522">
            <w:pPr>
              <w:jc w:val="both"/>
              <w:rPr>
                <w:sz w:val="22"/>
                <w:szCs w:val="22"/>
              </w:rPr>
            </w:pPr>
            <w:r w:rsidRPr="000C7281">
              <w:rPr>
                <w:sz w:val="22"/>
                <w:szCs w:val="22"/>
              </w:rPr>
              <w:t>0.48</w:t>
            </w:r>
          </w:p>
        </w:tc>
      </w:tr>
      <w:tr w:rsidR="00172522" w:rsidRPr="000C7281" w:rsidTr="00F81D72">
        <w:trPr>
          <w:trHeight w:val="300"/>
        </w:trPr>
        <w:tc>
          <w:tcPr>
            <w:tcW w:w="6140" w:type="dxa"/>
            <w:tcBorders>
              <w:top w:val="nil"/>
              <w:left w:val="nil"/>
              <w:bottom w:val="nil"/>
              <w:right w:val="nil"/>
            </w:tcBorders>
            <w:shd w:val="clear" w:color="auto" w:fill="auto"/>
            <w:noWrap/>
            <w:vAlign w:val="center"/>
            <w:hideMark/>
          </w:tcPr>
          <w:p w:rsidR="00172522" w:rsidRPr="000C7281" w:rsidRDefault="00172522" w:rsidP="00172522">
            <w:pPr>
              <w:ind w:left="-108"/>
              <w:jc w:val="both"/>
              <w:rPr>
                <w:b/>
                <w:sz w:val="22"/>
                <w:szCs w:val="22"/>
                <w:lang w:val="id-ID" w:eastAsia="id-ID"/>
              </w:rPr>
            </w:pPr>
            <w:r w:rsidRPr="000C7281">
              <w:rPr>
                <w:b/>
                <w:bCs/>
                <w:sz w:val="22"/>
                <w:szCs w:val="22"/>
                <w:lang w:eastAsia="id-ID"/>
              </w:rPr>
              <w:t>Policy and Regulation</w:t>
            </w:r>
            <w:r w:rsidRPr="000C7281">
              <w:rPr>
                <w:b/>
                <w:sz w:val="22"/>
                <w:szCs w:val="22"/>
                <w:lang w:val="id-ID" w:eastAsia="id-ID"/>
              </w:rPr>
              <w:t>(REG)</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b/>
                <w:bCs/>
                <w:sz w:val="22"/>
                <w:szCs w:val="22"/>
              </w:rPr>
            </w:pPr>
            <w:r w:rsidRPr="000C7281">
              <w:rPr>
                <w:b/>
                <w:bCs/>
                <w:sz w:val="22"/>
                <w:szCs w:val="22"/>
              </w:rPr>
              <w:t>1.92</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b/>
                <w:bCs/>
                <w:sz w:val="22"/>
                <w:szCs w:val="22"/>
              </w:rPr>
            </w:pPr>
            <w:r w:rsidRPr="000C7281">
              <w:rPr>
                <w:b/>
                <w:bCs/>
                <w:sz w:val="22"/>
                <w:szCs w:val="22"/>
              </w:rPr>
              <w:t>0.44</w:t>
            </w:r>
          </w:p>
        </w:tc>
      </w:tr>
      <w:tr w:rsidR="00172522" w:rsidRPr="000C7281" w:rsidTr="00F81D72">
        <w:trPr>
          <w:trHeight w:val="300"/>
        </w:trPr>
        <w:tc>
          <w:tcPr>
            <w:tcW w:w="6140" w:type="dxa"/>
            <w:tcBorders>
              <w:top w:val="nil"/>
              <w:left w:val="nil"/>
              <w:bottom w:val="nil"/>
              <w:right w:val="nil"/>
            </w:tcBorders>
            <w:shd w:val="clear" w:color="auto" w:fill="auto"/>
            <w:noWrap/>
            <w:vAlign w:val="center"/>
            <w:hideMark/>
          </w:tcPr>
          <w:p w:rsidR="00172522" w:rsidRPr="000C7281" w:rsidRDefault="00172522" w:rsidP="00172522">
            <w:pPr>
              <w:pStyle w:val="ListParagraph"/>
              <w:ind w:left="318"/>
              <w:contextualSpacing w:val="0"/>
              <w:jc w:val="both"/>
              <w:rPr>
                <w:sz w:val="22"/>
                <w:szCs w:val="22"/>
                <w:lang w:val="id-ID" w:eastAsia="id-ID"/>
              </w:rPr>
            </w:pPr>
            <w:r w:rsidRPr="000C7281">
              <w:rPr>
                <w:sz w:val="22"/>
                <w:szCs w:val="22"/>
                <w:lang w:eastAsia="id-ID"/>
              </w:rPr>
              <w:t>Fiscal incentives</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sz w:val="22"/>
                <w:szCs w:val="22"/>
              </w:rPr>
            </w:pPr>
            <w:r w:rsidRPr="000C7281">
              <w:rPr>
                <w:sz w:val="22"/>
                <w:szCs w:val="22"/>
              </w:rPr>
              <w:t>2.27</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sz w:val="22"/>
                <w:szCs w:val="22"/>
              </w:rPr>
            </w:pPr>
            <w:r w:rsidRPr="000C7281">
              <w:rPr>
                <w:sz w:val="22"/>
                <w:szCs w:val="22"/>
              </w:rPr>
              <w:t>0.49</w:t>
            </w:r>
          </w:p>
        </w:tc>
      </w:tr>
      <w:tr w:rsidR="00172522" w:rsidRPr="000C7281" w:rsidTr="00F81D72">
        <w:trPr>
          <w:trHeight w:val="300"/>
        </w:trPr>
        <w:tc>
          <w:tcPr>
            <w:tcW w:w="6140" w:type="dxa"/>
            <w:tcBorders>
              <w:top w:val="nil"/>
              <w:left w:val="nil"/>
              <w:bottom w:val="nil"/>
              <w:right w:val="nil"/>
            </w:tcBorders>
            <w:shd w:val="clear" w:color="auto" w:fill="auto"/>
            <w:noWrap/>
            <w:vAlign w:val="center"/>
            <w:hideMark/>
          </w:tcPr>
          <w:p w:rsidR="00172522" w:rsidRPr="000C7281" w:rsidRDefault="00172522" w:rsidP="00172522">
            <w:pPr>
              <w:pStyle w:val="ListParagraph"/>
              <w:ind w:left="318"/>
              <w:contextualSpacing w:val="0"/>
              <w:jc w:val="both"/>
              <w:rPr>
                <w:sz w:val="22"/>
                <w:szCs w:val="22"/>
                <w:lang w:val="id-ID" w:eastAsia="id-ID"/>
              </w:rPr>
            </w:pPr>
            <w:r w:rsidRPr="000C7281">
              <w:rPr>
                <w:sz w:val="22"/>
                <w:szCs w:val="22"/>
                <w:lang w:val="id-ID" w:eastAsia="id-ID"/>
              </w:rPr>
              <w:t>Property Right</w:t>
            </w:r>
            <w:r w:rsidRPr="000C7281">
              <w:rPr>
                <w:sz w:val="22"/>
                <w:szCs w:val="22"/>
                <w:lang w:eastAsia="id-ID"/>
              </w:rPr>
              <w:t xml:space="preserve"> Protection policy</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sz w:val="22"/>
                <w:szCs w:val="22"/>
              </w:rPr>
            </w:pPr>
            <w:r w:rsidRPr="000C7281">
              <w:rPr>
                <w:sz w:val="22"/>
                <w:szCs w:val="22"/>
              </w:rPr>
              <w:t>1.25</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sz w:val="22"/>
                <w:szCs w:val="22"/>
              </w:rPr>
            </w:pPr>
            <w:r w:rsidRPr="000C7281">
              <w:rPr>
                <w:sz w:val="22"/>
                <w:szCs w:val="22"/>
              </w:rPr>
              <w:t>0.44</w:t>
            </w:r>
          </w:p>
        </w:tc>
      </w:tr>
      <w:tr w:rsidR="00172522" w:rsidRPr="000C7281" w:rsidTr="00F81D72">
        <w:trPr>
          <w:trHeight w:val="300"/>
        </w:trPr>
        <w:tc>
          <w:tcPr>
            <w:tcW w:w="6140" w:type="dxa"/>
            <w:tcBorders>
              <w:top w:val="nil"/>
              <w:left w:val="nil"/>
              <w:bottom w:val="single" w:sz="4" w:space="0" w:color="auto"/>
              <w:right w:val="nil"/>
            </w:tcBorders>
            <w:shd w:val="clear" w:color="auto" w:fill="auto"/>
            <w:noWrap/>
            <w:vAlign w:val="center"/>
            <w:hideMark/>
          </w:tcPr>
          <w:p w:rsidR="00172522" w:rsidRPr="000C7281" w:rsidRDefault="00172522" w:rsidP="00172522">
            <w:pPr>
              <w:pStyle w:val="ListParagraph"/>
              <w:ind w:left="318"/>
              <w:contextualSpacing w:val="0"/>
              <w:jc w:val="both"/>
              <w:rPr>
                <w:sz w:val="22"/>
                <w:szCs w:val="22"/>
                <w:lang w:val="id-ID" w:eastAsia="id-ID"/>
              </w:rPr>
            </w:pPr>
            <w:r w:rsidRPr="000C7281">
              <w:rPr>
                <w:sz w:val="22"/>
                <w:szCs w:val="22"/>
                <w:lang w:eastAsia="id-ID"/>
              </w:rPr>
              <w:t>Warranty of healthy business competition</w:t>
            </w:r>
          </w:p>
        </w:tc>
        <w:tc>
          <w:tcPr>
            <w:tcW w:w="1200" w:type="dxa"/>
            <w:tcBorders>
              <w:top w:val="nil"/>
              <w:left w:val="nil"/>
              <w:bottom w:val="single" w:sz="4" w:space="0" w:color="auto"/>
              <w:right w:val="nil"/>
            </w:tcBorders>
            <w:shd w:val="clear" w:color="auto" w:fill="auto"/>
            <w:noWrap/>
            <w:hideMark/>
          </w:tcPr>
          <w:p w:rsidR="00172522" w:rsidRPr="000C7281" w:rsidRDefault="00172522" w:rsidP="00172522">
            <w:pPr>
              <w:jc w:val="both"/>
              <w:rPr>
                <w:sz w:val="22"/>
                <w:szCs w:val="22"/>
              </w:rPr>
            </w:pPr>
            <w:r w:rsidRPr="000C7281">
              <w:rPr>
                <w:sz w:val="22"/>
                <w:szCs w:val="22"/>
              </w:rPr>
              <w:t>2.23</w:t>
            </w:r>
          </w:p>
        </w:tc>
        <w:tc>
          <w:tcPr>
            <w:tcW w:w="1200" w:type="dxa"/>
            <w:tcBorders>
              <w:top w:val="nil"/>
              <w:left w:val="nil"/>
              <w:bottom w:val="single" w:sz="4" w:space="0" w:color="auto"/>
              <w:right w:val="nil"/>
            </w:tcBorders>
            <w:shd w:val="clear" w:color="auto" w:fill="auto"/>
            <w:noWrap/>
            <w:hideMark/>
          </w:tcPr>
          <w:p w:rsidR="00172522" w:rsidRPr="000C7281" w:rsidRDefault="00172522" w:rsidP="00172522">
            <w:pPr>
              <w:jc w:val="both"/>
              <w:rPr>
                <w:sz w:val="22"/>
                <w:szCs w:val="22"/>
              </w:rPr>
            </w:pPr>
            <w:r w:rsidRPr="000C7281">
              <w:rPr>
                <w:sz w:val="22"/>
                <w:szCs w:val="22"/>
              </w:rPr>
              <w:t>0.49</w:t>
            </w:r>
          </w:p>
        </w:tc>
      </w:tr>
      <w:tr w:rsidR="00172522" w:rsidRPr="000C7281" w:rsidTr="00F81D72">
        <w:trPr>
          <w:trHeight w:val="300"/>
        </w:trPr>
        <w:tc>
          <w:tcPr>
            <w:tcW w:w="6140" w:type="dxa"/>
            <w:tcBorders>
              <w:top w:val="nil"/>
              <w:left w:val="nil"/>
              <w:bottom w:val="nil"/>
              <w:right w:val="nil"/>
            </w:tcBorders>
            <w:shd w:val="clear" w:color="auto" w:fill="auto"/>
            <w:noWrap/>
            <w:vAlign w:val="center"/>
            <w:hideMark/>
          </w:tcPr>
          <w:p w:rsidR="00172522" w:rsidRPr="000C7281" w:rsidRDefault="00172522" w:rsidP="00172522">
            <w:pPr>
              <w:jc w:val="both"/>
              <w:rPr>
                <w:b/>
                <w:sz w:val="22"/>
                <w:szCs w:val="22"/>
                <w:lang w:val="id-ID" w:eastAsia="id-ID"/>
              </w:rPr>
            </w:pPr>
            <w:r w:rsidRPr="000C7281">
              <w:rPr>
                <w:b/>
                <w:bCs/>
                <w:sz w:val="22"/>
                <w:szCs w:val="22"/>
                <w:lang w:eastAsia="id-ID"/>
              </w:rPr>
              <w:t xml:space="preserve">Innovation </w:t>
            </w:r>
            <w:r w:rsidRPr="000C7281">
              <w:rPr>
                <w:b/>
                <w:bCs/>
                <w:sz w:val="22"/>
                <w:szCs w:val="22"/>
                <w:lang w:val="id-ID" w:eastAsia="id-ID"/>
              </w:rPr>
              <w:t>Infrastructur</w:t>
            </w:r>
            <w:r w:rsidRPr="000C7281">
              <w:rPr>
                <w:b/>
                <w:bCs/>
                <w:sz w:val="22"/>
                <w:szCs w:val="22"/>
                <w:lang w:eastAsia="id-ID"/>
              </w:rPr>
              <w:t>e</w:t>
            </w:r>
            <w:r w:rsidRPr="000C7281">
              <w:rPr>
                <w:b/>
                <w:sz w:val="22"/>
                <w:szCs w:val="22"/>
                <w:lang w:val="id-ID" w:eastAsia="id-ID"/>
              </w:rPr>
              <w:t>(INOV)</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b/>
                <w:bCs/>
                <w:sz w:val="22"/>
                <w:szCs w:val="22"/>
              </w:rPr>
            </w:pPr>
            <w:r w:rsidRPr="000C7281">
              <w:rPr>
                <w:b/>
                <w:bCs/>
                <w:sz w:val="22"/>
                <w:szCs w:val="22"/>
              </w:rPr>
              <w:t>2.01</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b/>
                <w:bCs/>
                <w:sz w:val="22"/>
                <w:szCs w:val="22"/>
              </w:rPr>
            </w:pPr>
            <w:r w:rsidRPr="000C7281">
              <w:rPr>
                <w:b/>
                <w:bCs/>
                <w:sz w:val="22"/>
                <w:szCs w:val="22"/>
              </w:rPr>
              <w:t>0.54</w:t>
            </w:r>
          </w:p>
        </w:tc>
      </w:tr>
      <w:tr w:rsidR="00172522" w:rsidRPr="000C7281" w:rsidTr="00F81D72">
        <w:trPr>
          <w:trHeight w:val="300"/>
        </w:trPr>
        <w:tc>
          <w:tcPr>
            <w:tcW w:w="6140" w:type="dxa"/>
            <w:tcBorders>
              <w:top w:val="nil"/>
              <w:left w:val="nil"/>
              <w:bottom w:val="nil"/>
              <w:right w:val="nil"/>
            </w:tcBorders>
            <w:shd w:val="clear" w:color="auto" w:fill="auto"/>
            <w:noWrap/>
            <w:vAlign w:val="center"/>
            <w:hideMark/>
          </w:tcPr>
          <w:p w:rsidR="00172522" w:rsidRPr="000C7281" w:rsidRDefault="00172522" w:rsidP="00172522">
            <w:pPr>
              <w:ind w:left="99"/>
              <w:jc w:val="both"/>
              <w:rPr>
                <w:sz w:val="22"/>
                <w:szCs w:val="22"/>
                <w:lang w:val="id-ID" w:eastAsia="id-ID"/>
              </w:rPr>
            </w:pPr>
            <w:r w:rsidRPr="000C7281">
              <w:rPr>
                <w:sz w:val="22"/>
                <w:szCs w:val="22"/>
                <w:lang w:eastAsia="id-ID"/>
              </w:rPr>
              <w:t xml:space="preserve">Access to Financial Support </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sz w:val="22"/>
                <w:szCs w:val="22"/>
              </w:rPr>
            </w:pPr>
            <w:r w:rsidRPr="000C7281">
              <w:rPr>
                <w:sz w:val="22"/>
                <w:szCs w:val="22"/>
              </w:rPr>
              <w:t>2.05</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sz w:val="22"/>
                <w:szCs w:val="22"/>
              </w:rPr>
            </w:pPr>
            <w:r w:rsidRPr="000C7281">
              <w:rPr>
                <w:sz w:val="22"/>
                <w:szCs w:val="22"/>
              </w:rPr>
              <w:t>0.59</w:t>
            </w:r>
          </w:p>
        </w:tc>
      </w:tr>
      <w:tr w:rsidR="00172522" w:rsidRPr="000C7281" w:rsidTr="00F81D72">
        <w:trPr>
          <w:trHeight w:val="300"/>
        </w:trPr>
        <w:tc>
          <w:tcPr>
            <w:tcW w:w="6140" w:type="dxa"/>
            <w:tcBorders>
              <w:top w:val="nil"/>
              <w:left w:val="nil"/>
              <w:bottom w:val="nil"/>
              <w:right w:val="nil"/>
            </w:tcBorders>
            <w:shd w:val="clear" w:color="auto" w:fill="auto"/>
            <w:noWrap/>
            <w:vAlign w:val="center"/>
            <w:hideMark/>
          </w:tcPr>
          <w:p w:rsidR="00172522" w:rsidRPr="000C7281" w:rsidRDefault="00172522" w:rsidP="00172522">
            <w:pPr>
              <w:ind w:left="99"/>
              <w:jc w:val="both"/>
              <w:rPr>
                <w:sz w:val="22"/>
                <w:szCs w:val="22"/>
                <w:lang w:val="id-ID" w:eastAsia="id-ID"/>
              </w:rPr>
            </w:pPr>
            <w:r w:rsidRPr="000C7281">
              <w:rPr>
                <w:sz w:val="22"/>
                <w:szCs w:val="22"/>
                <w:lang/>
              </w:rPr>
              <w:t>The level of use of ICT in rural areas</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sz w:val="22"/>
                <w:szCs w:val="22"/>
              </w:rPr>
            </w:pPr>
            <w:r w:rsidRPr="000C7281">
              <w:rPr>
                <w:sz w:val="22"/>
                <w:szCs w:val="22"/>
              </w:rPr>
              <w:t>2.05</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sz w:val="22"/>
                <w:szCs w:val="22"/>
              </w:rPr>
            </w:pPr>
            <w:r w:rsidRPr="000C7281">
              <w:rPr>
                <w:sz w:val="22"/>
                <w:szCs w:val="22"/>
              </w:rPr>
              <w:t>0.61</w:t>
            </w:r>
          </w:p>
        </w:tc>
      </w:tr>
      <w:tr w:rsidR="00172522" w:rsidRPr="000C7281" w:rsidTr="00F81D72">
        <w:trPr>
          <w:trHeight w:val="300"/>
        </w:trPr>
        <w:tc>
          <w:tcPr>
            <w:tcW w:w="6140" w:type="dxa"/>
            <w:tcBorders>
              <w:top w:val="nil"/>
              <w:left w:val="nil"/>
              <w:bottom w:val="nil"/>
              <w:right w:val="nil"/>
            </w:tcBorders>
            <w:shd w:val="clear" w:color="auto" w:fill="auto"/>
            <w:noWrap/>
            <w:vAlign w:val="center"/>
            <w:hideMark/>
          </w:tcPr>
          <w:p w:rsidR="00172522" w:rsidRPr="000C7281" w:rsidRDefault="00172522" w:rsidP="00172522">
            <w:pPr>
              <w:ind w:left="99"/>
              <w:jc w:val="both"/>
              <w:rPr>
                <w:sz w:val="22"/>
                <w:szCs w:val="22"/>
                <w:lang w:val="id-ID" w:eastAsia="id-ID"/>
              </w:rPr>
            </w:pPr>
            <w:r w:rsidRPr="000C7281">
              <w:rPr>
                <w:sz w:val="22"/>
                <w:szCs w:val="22"/>
                <w:lang/>
              </w:rPr>
              <w:t>Condition of ICT infrastructure in rural areas</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sz w:val="22"/>
                <w:szCs w:val="22"/>
              </w:rPr>
            </w:pPr>
            <w:r w:rsidRPr="000C7281">
              <w:rPr>
                <w:sz w:val="22"/>
                <w:szCs w:val="22"/>
              </w:rPr>
              <w:t>2.06</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sz w:val="22"/>
                <w:szCs w:val="22"/>
              </w:rPr>
            </w:pPr>
            <w:r w:rsidRPr="000C7281">
              <w:rPr>
                <w:sz w:val="22"/>
                <w:szCs w:val="22"/>
              </w:rPr>
              <w:t>0.61</w:t>
            </w:r>
          </w:p>
        </w:tc>
      </w:tr>
      <w:tr w:rsidR="00172522" w:rsidRPr="000C7281" w:rsidTr="00F81D72">
        <w:trPr>
          <w:trHeight w:val="300"/>
        </w:trPr>
        <w:tc>
          <w:tcPr>
            <w:tcW w:w="6140" w:type="dxa"/>
            <w:tcBorders>
              <w:top w:val="nil"/>
              <w:left w:val="nil"/>
              <w:bottom w:val="nil"/>
              <w:right w:val="nil"/>
            </w:tcBorders>
            <w:shd w:val="clear" w:color="auto" w:fill="auto"/>
            <w:noWrap/>
            <w:vAlign w:val="center"/>
            <w:hideMark/>
          </w:tcPr>
          <w:p w:rsidR="00172522" w:rsidRPr="000C7281" w:rsidRDefault="00172522" w:rsidP="00172522">
            <w:pPr>
              <w:ind w:left="99"/>
              <w:jc w:val="both"/>
              <w:rPr>
                <w:sz w:val="22"/>
                <w:szCs w:val="22"/>
                <w:lang w:val="id-ID" w:eastAsia="id-ID"/>
              </w:rPr>
            </w:pPr>
            <w:r w:rsidRPr="000C7281">
              <w:rPr>
                <w:sz w:val="22"/>
                <w:szCs w:val="22"/>
                <w:lang w:val="id-ID" w:eastAsia="id-ID"/>
              </w:rPr>
              <w:t>Facilitator Capacity</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sz w:val="22"/>
                <w:szCs w:val="22"/>
              </w:rPr>
            </w:pPr>
            <w:r w:rsidRPr="000C7281">
              <w:rPr>
                <w:sz w:val="22"/>
                <w:szCs w:val="22"/>
              </w:rPr>
              <w:t>1.91</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sz w:val="22"/>
                <w:szCs w:val="22"/>
              </w:rPr>
            </w:pPr>
            <w:r w:rsidRPr="000C7281">
              <w:rPr>
                <w:sz w:val="22"/>
                <w:szCs w:val="22"/>
              </w:rPr>
              <w:t>0.63</w:t>
            </w:r>
          </w:p>
        </w:tc>
      </w:tr>
      <w:tr w:rsidR="00172522" w:rsidRPr="000C7281" w:rsidTr="00F81D72">
        <w:trPr>
          <w:trHeight w:val="300"/>
        </w:trPr>
        <w:tc>
          <w:tcPr>
            <w:tcW w:w="6140" w:type="dxa"/>
            <w:tcBorders>
              <w:top w:val="nil"/>
              <w:left w:val="nil"/>
              <w:bottom w:val="single" w:sz="4" w:space="0" w:color="auto"/>
              <w:right w:val="nil"/>
            </w:tcBorders>
            <w:shd w:val="clear" w:color="auto" w:fill="auto"/>
            <w:noWrap/>
            <w:vAlign w:val="center"/>
            <w:hideMark/>
          </w:tcPr>
          <w:p w:rsidR="00172522" w:rsidRPr="000C7281" w:rsidRDefault="00172522" w:rsidP="00172522">
            <w:pPr>
              <w:ind w:left="99"/>
              <w:jc w:val="both"/>
              <w:rPr>
                <w:sz w:val="22"/>
                <w:szCs w:val="22"/>
                <w:lang w:val="id-ID" w:eastAsia="id-ID"/>
              </w:rPr>
            </w:pPr>
            <w:r w:rsidRPr="000C7281">
              <w:rPr>
                <w:sz w:val="22"/>
                <w:szCs w:val="22"/>
                <w:lang/>
              </w:rPr>
              <w:t>HR training</w:t>
            </w:r>
          </w:p>
        </w:tc>
        <w:tc>
          <w:tcPr>
            <w:tcW w:w="1200" w:type="dxa"/>
            <w:tcBorders>
              <w:top w:val="nil"/>
              <w:left w:val="nil"/>
              <w:bottom w:val="single" w:sz="4" w:space="0" w:color="auto"/>
              <w:right w:val="nil"/>
            </w:tcBorders>
            <w:shd w:val="clear" w:color="auto" w:fill="auto"/>
            <w:noWrap/>
            <w:hideMark/>
          </w:tcPr>
          <w:p w:rsidR="00172522" w:rsidRPr="000C7281" w:rsidRDefault="00172522" w:rsidP="00172522">
            <w:pPr>
              <w:jc w:val="both"/>
              <w:rPr>
                <w:sz w:val="22"/>
                <w:szCs w:val="22"/>
              </w:rPr>
            </w:pPr>
            <w:r w:rsidRPr="000C7281">
              <w:rPr>
                <w:sz w:val="22"/>
                <w:szCs w:val="22"/>
              </w:rPr>
              <w:t>1.96</w:t>
            </w:r>
          </w:p>
        </w:tc>
        <w:tc>
          <w:tcPr>
            <w:tcW w:w="1200" w:type="dxa"/>
            <w:tcBorders>
              <w:top w:val="nil"/>
              <w:left w:val="nil"/>
              <w:bottom w:val="single" w:sz="4" w:space="0" w:color="auto"/>
              <w:right w:val="nil"/>
            </w:tcBorders>
            <w:shd w:val="clear" w:color="auto" w:fill="auto"/>
            <w:noWrap/>
            <w:hideMark/>
          </w:tcPr>
          <w:p w:rsidR="00172522" w:rsidRPr="000C7281" w:rsidRDefault="00172522" w:rsidP="00172522">
            <w:pPr>
              <w:jc w:val="both"/>
              <w:rPr>
                <w:sz w:val="22"/>
                <w:szCs w:val="22"/>
              </w:rPr>
            </w:pPr>
            <w:r w:rsidRPr="000C7281">
              <w:rPr>
                <w:sz w:val="22"/>
                <w:szCs w:val="22"/>
              </w:rPr>
              <w:t>0.60</w:t>
            </w:r>
          </w:p>
        </w:tc>
      </w:tr>
      <w:tr w:rsidR="00172522" w:rsidRPr="000C7281" w:rsidTr="00F81D72">
        <w:trPr>
          <w:trHeight w:val="300"/>
        </w:trPr>
        <w:tc>
          <w:tcPr>
            <w:tcW w:w="6140" w:type="dxa"/>
            <w:tcBorders>
              <w:top w:val="nil"/>
              <w:left w:val="nil"/>
              <w:bottom w:val="nil"/>
              <w:right w:val="nil"/>
            </w:tcBorders>
            <w:shd w:val="clear" w:color="auto" w:fill="auto"/>
            <w:noWrap/>
            <w:vAlign w:val="center"/>
            <w:hideMark/>
          </w:tcPr>
          <w:p w:rsidR="00172522" w:rsidRPr="000C7281" w:rsidRDefault="00172522" w:rsidP="00172522">
            <w:pPr>
              <w:jc w:val="both"/>
              <w:rPr>
                <w:b/>
                <w:sz w:val="22"/>
                <w:szCs w:val="22"/>
                <w:lang w:val="id-ID" w:eastAsia="id-ID"/>
              </w:rPr>
            </w:pPr>
            <w:r w:rsidRPr="000C7281">
              <w:rPr>
                <w:b/>
                <w:sz w:val="22"/>
                <w:szCs w:val="22"/>
                <w:lang/>
              </w:rPr>
              <w:t>Institutional Capacity</w:t>
            </w:r>
            <w:r w:rsidRPr="000C7281">
              <w:rPr>
                <w:b/>
                <w:sz w:val="22"/>
                <w:szCs w:val="22"/>
                <w:lang w:val="id-ID" w:eastAsia="id-ID"/>
              </w:rPr>
              <w:t>(MAN)</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b/>
                <w:bCs/>
                <w:sz w:val="22"/>
                <w:szCs w:val="22"/>
              </w:rPr>
            </w:pPr>
            <w:r w:rsidRPr="000C7281">
              <w:rPr>
                <w:b/>
                <w:bCs/>
                <w:sz w:val="22"/>
                <w:szCs w:val="22"/>
              </w:rPr>
              <w:t>1.85</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b/>
                <w:bCs/>
                <w:sz w:val="22"/>
                <w:szCs w:val="22"/>
              </w:rPr>
            </w:pPr>
            <w:r w:rsidRPr="000C7281">
              <w:rPr>
                <w:b/>
                <w:bCs/>
                <w:sz w:val="22"/>
                <w:szCs w:val="22"/>
              </w:rPr>
              <w:t>0.69</w:t>
            </w:r>
          </w:p>
        </w:tc>
      </w:tr>
      <w:tr w:rsidR="00172522" w:rsidRPr="000C7281" w:rsidTr="00F81D72">
        <w:trPr>
          <w:trHeight w:val="300"/>
        </w:trPr>
        <w:tc>
          <w:tcPr>
            <w:tcW w:w="6140" w:type="dxa"/>
            <w:tcBorders>
              <w:top w:val="nil"/>
              <w:left w:val="nil"/>
              <w:bottom w:val="nil"/>
              <w:right w:val="nil"/>
            </w:tcBorders>
            <w:shd w:val="clear" w:color="auto" w:fill="auto"/>
            <w:noWrap/>
            <w:vAlign w:val="center"/>
            <w:hideMark/>
          </w:tcPr>
          <w:p w:rsidR="00172522" w:rsidRPr="000C7281" w:rsidRDefault="00172522" w:rsidP="00172522">
            <w:pPr>
              <w:ind w:left="99"/>
              <w:jc w:val="both"/>
              <w:rPr>
                <w:sz w:val="22"/>
                <w:szCs w:val="22"/>
                <w:lang w:val="id-ID" w:eastAsia="id-ID"/>
              </w:rPr>
            </w:pPr>
            <w:r w:rsidRPr="000C7281">
              <w:rPr>
                <w:sz w:val="22"/>
                <w:szCs w:val="22"/>
                <w:lang/>
              </w:rPr>
              <w:t xml:space="preserve">Capacity of </w:t>
            </w:r>
            <w:r w:rsidRPr="000C7281">
              <w:rPr>
                <w:sz w:val="22"/>
                <w:szCs w:val="22"/>
                <w:lang w:val="id-ID"/>
              </w:rPr>
              <w:t>Administration</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sz w:val="22"/>
                <w:szCs w:val="22"/>
              </w:rPr>
            </w:pPr>
            <w:r w:rsidRPr="000C7281">
              <w:rPr>
                <w:sz w:val="22"/>
                <w:szCs w:val="22"/>
              </w:rPr>
              <w:t>1.87</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sz w:val="22"/>
                <w:szCs w:val="22"/>
              </w:rPr>
            </w:pPr>
            <w:r w:rsidRPr="000C7281">
              <w:rPr>
                <w:sz w:val="22"/>
                <w:szCs w:val="22"/>
              </w:rPr>
              <w:t>0.71</w:t>
            </w:r>
          </w:p>
        </w:tc>
      </w:tr>
      <w:tr w:rsidR="00172522" w:rsidRPr="000C7281" w:rsidTr="00F81D72">
        <w:trPr>
          <w:trHeight w:val="300"/>
        </w:trPr>
        <w:tc>
          <w:tcPr>
            <w:tcW w:w="6140" w:type="dxa"/>
            <w:tcBorders>
              <w:top w:val="nil"/>
              <w:left w:val="nil"/>
              <w:bottom w:val="nil"/>
              <w:right w:val="nil"/>
            </w:tcBorders>
            <w:shd w:val="clear" w:color="auto" w:fill="auto"/>
            <w:noWrap/>
            <w:vAlign w:val="center"/>
            <w:hideMark/>
          </w:tcPr>
          <w:p w:rsidR="00172522" w:rsidRPr="000C7281" w:rsidRDefault="00172522" w:rsidP="00172522">
            <w:pPr>
              <w:ind w:left="99"/>
              <w:jc w:val="both"/>
              <w:rPr>
                <w:sz w:val="22"/>
                <w:szCs w:val="22"/>
                <w:lang w:val="id-ID" w:eastAsia="id-ID"/>
              </w:rPr>
            </w:pPr>
            <w:r w:rsidRPr="000C7281">
              <w:rPr>
                <w:sz w:val="22"/>
                <w:szCs w:val="22"/>
                <w:lang/>
              </w:rPr>
              <w:t xml:space="preserve">Capacity of </w:t>
            </w:r>
            <w:r w:rsidRPr="000C7281">
              <w:rPr>
                <w:sz w:val="22"/>
                <w:szCs w:val="22"/>
                <w:lang w:val="id-ID"/>
              </w:rPr>
              <w:t>Management</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sz w:val="22"/>
                <w:szCs w:val="22"/>
              </w:rPr>
            </w:pPr>
            <w:r w:rsidRPr="000C7281">
              <w:rPr>
                <w:sz w:val="22"/>
                <w:szCs w:val="22"/>
              </w:rPr>
              <w:t>1.90</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sz w:val="22"/>
                <w:szCs w:val="22"/>
              </w:rPr>
            </w:pPr>
            <w:r w:rsidRPr="000C7281">
              <w:rPr>
                <w:sz w:val="22"/>
                <w:szCs w:val="22"/>
              </w:rPr>
              <w:t>0.74</w:t>
            </w:r>
          </w:p>
        </w:tc>
      </w:tr>
      <w:tr w:rsidR="00172522" w:rsidRPr="000C7281" w:rsidTr="00F81D72">
        <w:trPr>
          <w:trHeight w:val="300"/>
        </w:trPr>
        <w:tc>
          <w:tcPr>
            <w:tcW w:w="6140" w:type="dxa"/>
            <w:tcBorders>
              <w:top w:val="nil"/>
              <w:left w:val="nil"/>
              <w:bottom w:val="single" w:sz="4" w:space="0" w:color="auto"/>
              <w:right w:val="nil"/>
            </w:tcBorders>
            <w:shd w:val="clear" w:color="auto" w:fill="auto"/>
            <w:noWrap/>
            <w:vAlign w:val="center"/>
            <w:hideMark/>
          </w:tcPr>
          <w:p w:rsidR="00172522" w:rsidRPr="000C7281" w:rsidRDefault="00172522" w:rsidP="00172522">
            <w:pPr>
              <w:ind w:left="99"/>
              <w:jc w:val="both"/>
              <w:rPr>
                <w:sz w:val="22"/>
                <w:szCs w:val="22"/>
                <w:lang w:val="id-ID" w:eastAsia="id-ID"/>
              </w:rPr>
            </w:pPr>
            <w:r w:rsidRPr="000C7281">
              <w:rPr>
                <w:sz w:val="22"/>
                <w:szCs w:val="22"/>
                <w:lang/>
              </w:rPr>
              <w:t xml:space="preserve">Capacity of </w:t>
            </w:r>
            <w:r w:rsidRPr="000C7281">
              <w:rPr>
                <w:sz w:val="22"/>
                <w:szCs w:val="22"/>
                <w:lang w:val="id-ID"/>
              </w:rPr>
              <w:t>Governance</w:t>
            </w:r>
          </w:p>
        </w:tc>
        <w:tc>
          <w:tcPr>
            <w:tcW w:w="1200" w:type="dxa"/>
            <w:tcBorders>
              <w:top w:val="nil"/>
              <w:left w:val="nil"/>
              <w:bottom w:val="single" w:sz="4" w:space="0" w:color="auto"/>
              <w:right w:val="nil"/>
            </w:tcBorders>
            <w:shd w:val="clear" w:color="auto" w:fill="auto"/>
            <w:noWrap/>
            <w:hideMark/>
          </w:tcPr>
          <w:p w:rsidR="00172522" w:rsidRPr="000C7281" w:rsidRDefault="00172522" w:rsidP="00172522">
            <w:pPr>
              <w:jc w:val="both"/>
              <w:rPr>
                <w:sz w:val="22"/>
                <w:szCs w:val="22"/>
              </w:rPr>
            </w:pPr>
            <w:r w:rsidRPr="000C7281">
              <w:rPr>
                <w:sz w:val="22"/>
                <w:szCs w:val="22"/>
              </w:rPr>
              <w:t>1.77</w:t>
            </w:r>
          </w:p>
        </w:tc>
        <w:tc>
          <w:tcPr>
            <w:tcW w:w="1200" w:type="dxa"/>
            <w:tcBorders>
              <w:top w:val="nil"/>
              <w:left w:val="nil"/>
              <w:bottom w:val="single" w:sz="4" w:space="0" w:color="auto"/>
              <w:right w:val="nil"/>
            </w:tcBorders>
            <w:shd w:val="clear" w:color="auto" w:fill="auto"/>
            <w:noWrap/>
            <w:hideMark/>
          </w:tcPr>
          <w:p w:rsidR="00172522" w:rsidRPr="000C7281" w:rsidRDefault="00172522" w:rsidP="00172522">
            <w:pPr>
              <w:jc w:val="both"/>
              <w:rPr>
                <w:sz w:val="22"/>
                <w:szCs w:val="22"/>
              </w:rPr>
            </w:pPr>
            <w:r w:rsidRPr="000C7281">
              <w:rPr>
                <w:sz w:val="22"/>
                <w:szCs w:val="22"/>
              </w:rPr>
              <w:t>0.72</w:t>
            </w:r>
          </w:p>
        </w:tc>
      </w:tr>
      <w:tr w:rsidR="00172522" w:rsidRPr="000C7281" w:rsidTr="00F81D72">
        <w:trPr>
          <w:trHeight w:val="300"/>
        </w:trPr>
        <w:tc>
          <w:tcPr>
            <w:tcW w:w="6140" w:type="dxa"/>
            <w:tcBorders>
              <w:top w:val="nil"/>
              <w:left w:val="nil"/>
              <w:bottom w:val="nil"/>
              <w:right w:val="nil"/>
            </w:tcBorders>
            <w:shd w:val="clear" w:color="auto" w:fill="auto"/>
            <w:noWrap/>
            <w:vAlign w:val="center"/>
            <w:hideMark/>
          </w:tcPr>
          <w:p w:rsidR="00172522" w:rsidRPr="000C7281" w:rsidRDefault="00172522" w:rsidP="00172522">
            <w:pPr>
              <w:jc w:val="both"/>
              <w:rPr>
                <w:b/>
                <w:sz w:val="22"/>
                <w:szCs w:val="22"/>
                <w:lang w:val="id-ID" w:eastAsia="id-ID"/>
              </w:rPr>
            </w:pPr>
            <w:r w:rsidRPr="000C7281">
              <w:rPr>
                <w:b/>
                <w:sz w:val="22"/>
                <w:szCs w:val="22"/>
                <w:lang/>
              </w:rPr>
              <w:t>Innovation Culture</w:t>
            </w:r>
            <w:r w:rsidRPr="000C7281">
              <w:rPr>
                <w:b/>
                <w:sz w:val="22"/>
                <w:szCs w:val="22"/>
                <w:lang w:val="id-ID" w:eastAsia="id-ID"/>
              </w:rPr>
              <w:t>(MAR)</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b/>
                <w:bCs/>
                <w:sz w:val="22"/>
                <w:szCs w:val="22"/>
              </w:rPr>
            </w:pPr>
            <w:r w:rsidRPr="000C7281">
              <w:rPr>
                <w:b/>
                <w:bCs/>
                <w:sz w:val="22"/>
                <w:szCs w:val="22"/>
              </w:rPr>
              <w:t>1.99</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b/>
                <w:bCs/>
                <w:sz w:val="22"/>
                <w:szCs w:val="22"/>
              </w:rPr>
            </w:pPr>
            <w:r w:rsidRPr="000C7281">
              <w:rPr>
                <w:b/>
                <w:bCs/>
                <w:sz w:val="22"/>
                <w:szCs w:val="22"/>
              </w:rPr>
              <w:t>0.52</w:t>
            </w:r>
          </w:p>
        </w:tc>
      </w:tr>
      <w:tr w:rsidR="00172522" w:rsidRPr="000C7281" w:rsidTr="00F81D72">
        <w:trPr>
          <w:trHeight w:val="300"/>
        </w:trPr>
        <w:tc>
          <w:tcPr>
            <w:tcW w:w="6140" w:type="dxa"/>
            <w:tcBorders>
              <w:top w:val="nil"/>
              <w:left w:val="nil"/>
              <w:bottom w:val="nil"/>
              <w:right w:val="nil"/>
            </w:tcBorders>
            <w:shd w:val="clear" w:color="auto" w:fill="auto"/>
            <w:noWrap/>
            <w:vAlign w:val="center"/>
            <w:hideMark/>
          </w:tcPr>
          <w:p w:rsidR="00172522" w:rsidRPr="000C7281" w:rsidRDefault="00172522" w:rsidP="00172522">
            <w:pPr>
              <w:ind w:left="99"/>
              <w:jc w:val="both"/>
              <w:rPr>
                <w:sz w:val="22"/>
                <w:szCs w:val="22"/>
                <w:lang w:val="id-ID" w:eastAsia="id-ID"/>
              </w:rPr>
            </w:pPr>
            <w:r w:rsidRPr="000C7281">
              <w:rPr>
                <w:sz w:val="22"/>
                <w:szCs w:val="22"/>
                <w:lang/>
              </w:rPr>
              <w:t>Innovation Culture</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sz w:val="22"/>
                <w:szCs w:val="22"/>
              </w:rPr>
            </w:pPr>
            <w:r w:rsidRPr="000C7281">
              <w:rPr>
                <w:sz w:val="22"/>
                <w:szCs w:val="22"/>
              </w:rPr>
              <w:t>1.66</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sz w:val="22"/>
                <w:szCs w:val="22"/>
              </w:rPr>
            </w:pPr>
            <w:r w:rsidRPr="000C7281">
              <w:rPr>
                <w:sz w:val="22"/>
                <w:szCs w:val="22"/>
              </w:rPr>
              <w:t>0.60</w:t>
            </w:r>
          </w:p>
        </w:tc>
      </w:tr>
      <w:tr w:rsidR="00172522" w:rsidRPr="000C7281" w:rsidTr="00F81D72">
        <w:trPr>
          <w:trHeight w:val="300"/>
        </w:trPr>
        <w:tc>
          <w:tcPr>
            <w:tcW w:w="6140" w:type="dxa"/>
            <w:tcBorders>
              <w:top w:val="nil"/>
              <w:left w:val="nil"/>
              <w:bottom w:val="nil"/>
              <w:right w:val="nil"/>
            </w:tcBorders>
            <w:shd w:val="clear" w:color="auto" w:fill="auto"/>
            <w:noWrap/>
            <w:vAlign w:val="center"/>
            <w:hideMark/>
          </w:tcPr>
          <w:p w:rsidR="00172522" w:rsidRPr="000C7281" w:rsidRDefault="00172522" w:rsidP="00172522">
            <w:pPr>
              <w:ind w:left="99"/>
              <w:jc w:val="both"/>
              <w:rPr>
                <w:sz w:val="22"/>
                <w:szCs w:val="22"/>
                <w:lang w:val="id-ID" w:eastAsia="id-ID"/>
              </w:rPr>
            </w:pPr>
            <w:r w:rsidRPr="000C7281">
              <w:rPr>
                <w:sz w:val="22"/>
                <w:szCs w:val="22"/>
                <w:lang/>
              </w:rPr>
              <w:lastRenderedPageBreak/>
              <w:t>Entrepreneurial culture</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sz w:val="22"/>
                <w:szCs w:val="22"/>
              </w:rPr>
            </w:pPr>
            <w:r w:rsidRPr="000C7281">
              <w:rPr>
                <w:sz w:val="22"/>
                <w:szCs w:val="22"/>
              </w:rPr>
              <w:t>1.72</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sz w:val="22"/>
                <w:szCs w:val="22"/>
              </w:rPr>
            </w:pPr>
            <w:r w:rsidRPr="000C7281">
              <w:rPr>
                <w:sz w:val="22"/>
                <w:szCs w:val="22"/>
              </w:rPr>
              <w:t>0.63</w:t>
            </w:r>
          </w:p>
        </w:tc>
      </w:tr>
      <w:tr w:rsidR="00172522" w:rsidRPr="000C7281" w:rsidTr="00F81D72">
        <w:trPr>
          <w:trHeight w:val="300"/>
        </w:trPr>
        <w:tc>
          <w:tcPr>
            <w:tcW w:w="6140" w:type="dxa"/>
            <w:tcBorders>
              <w:top w:val="nil"/>
              <w:left w:val="nil"/>
              <w:bottom w:val="single" w:sz="4" w:space="0" w:color="auto"/>
              <w:right w:val="nil"/>
            </w:tcBorders>
            <w:shd w:val="clear" w:color="auto" w:fill="auto"/>
            <w:noWrap/>
            <w:vAlign w:val="center"/>
            <w:hideMark/>
          </w:tcPr>
          <w:p w:rsidR="00172522" w:rsidRPr="000C7281" w:rsidRDefault="00172522" w:rsidP="00172522">
            <w:pPr>
              <w:ind w:left="99"/>
              <w:jc w:val="both"/>
              <w:rPr>
                <w:sz w:val="22"/>
                <w:szCs w:val="22"/>
                <w:lang w:val="id-ID" w:eastAsia="id-ID"/>
              </w:rPr>
            </w:pPr>
            <w:r w:rsidRPr="000C7281">
              <w:rPr>
                <w:sz w:val="22"/>
                <w:szCs w:val="22"/>
                <w:lang/>
              </w:rPr>
              <w:t>Concern for traditional knowledge</w:t>
            </w:r>
          </w:p>
        </w:tc>
        <w:tc>
          <w:tcPr>
            <w:tcW w:w="1200" w:type="dxa"/>
            <w:tcBorders>
              <w:top w:val="nil"/>
              <w:left w:val="nil"/>
              <w:bottom w:val="single" w:sz="4" w:space="0" w:color="auto"/>
              <w:right w:val="nil"/>
            </w:tcBorders>
            <w:shd w:val="clear" w:color="auto" w:fill="auto"/>
            <w:noWrap/>
            <w:hideMark/>
          </w:tcPr>
          <w:p w:rsidR="00172522" w:rsidRPr="000C7281" w:rsidRDefault="00172522" w:rsidP="00172522">
            <w:pPr>
              <w:jc w:val="both"/>
              <w:rPr>
                <w:sz w:val="22"/>
                <w:szCs w:val="22"/>
              </w:rPr>
            </w:pPr>
            <w:r w:rsidRPr="000C7281">
              <w:rPr>
                <w:sz w:val="22"/>
                <w:szCs w:val="22"/>
              </w:rPr>
              <w:t>2.59</w:t>
            </w:r>
          </w:p>
        </w:tc>
        <w:tc>
          <w:tcPr>
            <w:tcW w:w="1200" w:type="dxa"/>
            <w:tcBorders>
              <w:top w:val="nil"/>
              <w:left w:val="nil"/>
              <w:bottom w:val="single" w:sz="4" w:space="0" w:color="auto"/>
              <w:right w:val="nil"/>
            </w:tcBorders>
            <w:shd w:val="clear" w:color="auto" w:fill="auto"/>
            <w:noWrap/>
            <w:hideMark/>
          </w:tcPr>
          <w:p w:rsidR="00172522" w:rsidRPr="000C7281" w:rsidRDefault="00172522" w:rsidP="00172522">
            <w:pPr>
              <w:jc w:val="both"/>
              <w:rPr>
                <w:sz w:val="22"/>
                <w:szCs w:val="22"/>
              </w:rPr>
            </w:pPr>
            <w:r w:rsidRPr="000C7281">
              <w:rPr>
                <w:sz w:val="22"/>
                <w:szCs w:val="22"/>
              </w:rPr>
              <w:t>0.49</w:t>
            </w:r>
          </w:p>
        </w:tc>
      </w:tr>
      <w:tr w:rsidR="00172522" w:rsidRPr="000C7281" w:rsidTr="00F81D72">
        <w:trPr>
          <w:trHeight w:val="300"/>
        </w:trPr>
        <w:tc>
          <w:tcPr>
            <w:tcW w:w="6140" w:type="dxa"/>
            <w:tcBorders>
              <w:top w:val="nil"/>
              <w:left w:val="nil"/>
              <w:bottom w:val="nil"/>
              <w:right w:val="nil"/>
            </w:tcBorders>
            <w:shd w:val="clear" w:color="auto" w:fill="auto"/>
            <w:noWrap/>
            <w:vAlign w:val="center"/>
            <w:hideMark/>
          </w:tcPr>
          <w:p w:rsidR="00172522" w:rsidRPr="000C7281" w:rsidRDefault="00172522" w:rsidP="002F3FA6">
            <w:pPr>
              <w:jc w:val="both"/>
              <w:rPr>
                <w:b/>
                <w:sz w:val="22"/>
                <w:szCs w:val="22"/>
                <w:lang w:val="id-ID" w:eastAsia="id-ID"/>
              </w:rPr>
            </w:pPr>
            <w:r w:rsidRPr="000C7281">
              <w:rPr>
                <w:b/>
                <w:bCs/>
                <w:sz w:val="22"/>
                <w:szCs w:val="22"/>
                <w:lang w:eastAsia="id-ID"/>
              </w:rPr>
              <w:t>Capacity of</w:t>
            </w:r>
            <w:r w:rsidRPr="000C7281">
              <w:rPr>
                <w:b/>
                <w:bCs/>
                <w:sz w:val="22"/>
                <w:szCs w:val="22"/>
                <w:lang w:val="id-ID" w:eastAsia="id-ID"/>
              </w:rPr>
              <w:t xml:space="preserve"> Knowledge Management </w:t>
            </w:r>
            <w:r w:rsidRPr="000C7281">
              <w:rPr>
                <w:b/>
                <w:sz w:val="22"/>
                <w:szCs w:val="22"/>
                <w:lang w:val="id-ID" w:eastAsia="id-ID"/>
              </w:rPr>
              <w:t>(</w:t>
            </w:r>
            <w:r w:rsidR="002F3FA6" w:rsidRPr="000C7281">
              <w:rPr>
                <w:b/>
                <w:sz w:val="22"/>
                <w:szCs w:val="22"/>
                <w:lang w:val="id-ID" w:eastAsia="id-ID"/>
              </w:rPr>
              <w:t>KM</w:t>
            </w:r>
            <w:r w:rsidRPr="000C7281">
              <w:rPr>
                <w:b/>
                <w:sz w:val="22"/>
                <w:szCs w:val="22"/>
                <w:lang w:val="id-ID" w:eastAsia="id-ID"/>
              </w:rPr>
              <w:t>)</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b/>
                <w:bCs/>
                <w:sz w:val="22"/>
                <w:szCs w:val="22"/>
              </w:rPr>
            </w:pPr>
            <w:r w:rsidRPr="000C7281">
              <w:rPr>
                <w:b/>
                <w:bCs/>
                <w:sz w:val="22"/>
                <w:szCs w:val="22"/>
              </w:rPr>
              <w:t>1.57</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b/>
                <w:bCs/>
                <w:sz w:val="22"/>
                <w:szCs w:val="22"/>
              </w:rPr>
            </w:pPr>
            <w:r w:rsidRPr="000C7281">
              <w:rPr>
                <w:b/>
                <w:bCs/>
                <w:sz w:val="22"/>
                <w:szCs w:val="22"/>
              </w:rPr>
              <w:t>0.47</w:t>
            </w:r>
          </w:p>
        </w:tc>
      </w:tr>
      <w:tr w:rsidR="00172522" w:rsidRPr="000C7281" w:rsidTr="00F81D72">
        <w:trPr>
          <w:trHeight w:val="300"/>
        </w:trPr>
        <w:tc>
          <w:tcPr>
            <w:tcW w:w="6140" w:type="dxa"/>
            <w:tcBorders>
              <w:top w:val="nil"/>
              <w:left w:val="nil"/>
              <w:bottom w:val="nil"/>
              <w:right w:val="nil"/>
            </w:tcBorders>
            <w:shd w:val="clear" w:color="auto" w:fill="auto"/>
            <w:noWrap/>
            <w:vAlign w:val="center"/>
            <w:hideMark/>
          </w:tcPr>
          <w:p w:rsidR="00172522" w:rsidRPr="000C7281" w:rsidRDefault="00172522" w:rsidP="00172522">
            <w:pPr>
              <w:ind w:left="99"/>
              <w:jc w:val="both"/>
              <w:rPr>
                <w:sz w:val="22"/>
                <w:szCs w:val="22"/>
                <w:lang w:val="id-ID" w:eastAsia="id-ID"/>
              </w:rPr>
            </w:pPr>
            <w:r w:rsidRPr="000C7281">
              <w:rPr>
                <w:sz w:val="22"/>
                <w:szCs w:val="22"/>
                <w:lang/>
              </w:rPr>
              <w:t>Access to Innovation</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sz w:val="22"/>
                <w:szCs w:val="22"/>
              </w:rPr>
            </w:pPr>
            <w:r w:rsidRPr="000C7281">
              <w:rPr>
                <w:sz w:val="22"/>
                <w:szCs w:val="22"/>
              </w:rPr>
              <w:t>1.59</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sz w:val="22"/>
                <w:szCs w:val="22"/>
              </w:rPr>
            </w:pPr>
            <w:r w:rsidRPr="000C7281">
              <w:rPr>
                <w:sz w:val="22"/>
                <w:szCs w:val="22"/>
              </w:rPr>
              <w:t>0.49</w:t>
            </w:r>
          </w:p>
        </w:tc>
      </w:tr>
      <w:tr w:rsidR="00172522" w:rsidRPr="000C7281" w:rsidTr="00F81D72">
        <w:trPr>
          <w:trHeight w:val="300"/>
        </w:trPr>
        <w:tc>
          <w:tcPr>
            <w:tcW w:w="6140" w:type="dxa"/>
            <w:tcBorders>
              <w:top w:val="nil"/>
              <w:left w:val="nil"/>
              <w:bottom w:val="nil"/>
              <w:right w:val="nil"/>
            </w:tcBorders>
            <w:shd w:val="clear" w:color="auto" w:fill="auto"/>
            <w:noWrap/>
            <w:vAlign w:val="center"/>
            <w:hideMark/>
          </w:tcPr>
          <w:p w:rsidR="00172522" w:rsidRPr="000C7281" w:rsidRDefault="00172522" w:rsidP="00172522">
            <w:pPr>
              <w:ind w:left="99"/>
              <w:jc w:val="both"/>
              <w:rPr>
                <w:sz w:val="22"/>
                <w:szCs w:val="22"/>
                <w:lang w:val="id-ID" w:eastAsia="id-ID"/>
              </w:rPr>
            </w:pPr>
            <w:r w:rsidRPr="000C7281">
              <w:rPr>
                <w:sz w:val="22"/>
                <w:szCs w:val="22"/>
                <w:lang/>
              </w:rPr>
              <w:t>Access to Information on Innovation Funding</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sz w:val="22"/>
                <w:szCs w:val="22"/>
              </w:rPr>
            </w:pPr>
            <w:r w:rsidRPr="000C7281">
              <w:rPr>
                <w:sz w:val="22"/>
                <w:szCs w:val="22"/>
              </w:rPr>
              <w:t>1.59</w:t>
            </w:r>
          </w:p>
        </w:tc>
        <w:tc>
          <w:tcPr>
            <w:tcW w:w="1200" w:type="dxa"/>
            <w:tcBorders>
              <w:top w:val="nil"/>
              <w:left w:val="nil"/>
              <w:bottom w:val="nil"/>
              <w:right w:val="nil"/>
            </w:tcBorders>
            <w:shd w:val="clear" w:color="auto" w:fill="auto"/>
            <w:noWrap/>
            <w:hideMark/>
          </w:tcPr>
          <w:p w:rsidR="00172522" w:rsidRPr="000C7281" w:rsidRDefault="00172522" w:rsidP="00172522">
            <w:pPr>
              <w:jc w:val="both"/>
              <w:rPr>
                <w:sz w:val="22"/>
                <w:szCs w:val="22"/>
              </w:rPr>
            </w:pPr>
            <w:r w:rsidRPr="000C7281">
              <w:rPr>
                <w:sz w:val="22"/>
                <w:szCs w:val="22"/>
              </w:rPr>
              <w:t>0.49</w:t>
            </w:r>
          </w:p>
        </w:tc>
      </w:tr>
      <w:tr w:rsidR="00172522" w:rsidRPr="000C7281" w:rsidTr="00F81D72">
        <w:trPr>
          <w:trHeight w:val="300"/>
        </w:trPr>
        <w:tc>
          <w:tcPr>
            <w:tcW w:w="6140" w:type="dxa"/>
            <w:tcBorders>
              <w:top w:val="nil"/>
              <w:left w:val="nil"/>
              <w:bottom w:val="single" w:sz="4" w:space="0" w:color="auto"/>
              <w:right w:val="nil"/>
            </w:tcBorders>
            <w:shd w:val="clear" w:color="auto" w:fill="auto"/>
            <w:noWrap/>
            <w:vAlign w:val="center"/>
            <w:hideMark/>
          </w:tcPr>
          <w:p w:rsidR="00172522" w:rsidRPr="000C7281" w:rsidRDefault="00172522" w:rsidP="00172522">
            <w:pPr>
              <w:ind w:left="99"/>
              <w:jc w:val="both"/>
              <w:rPr>
                <w:sz w:val="22"/>
                <w:szCs w:val="22"/>
                <w:lang w:val="id-ID" w:eastAsia="id-ID"/>
              </w:rPr>
            </w:pPr>
            <w:r w:rsidRPr="000C7281">
              <w:rPr>
                <w:sz w:val="22"/>
                <w:szCs w:val="22"/>
                <w:lang/>
              </w:rPr>
              <w:t xml:space="preserve">Access to Information </w:t>
            </w:r>
            <w:r w:rsidRPr="000C7281">
              <w:rPr>
                <w:sz w:val="22"/>
                <w:szCs w:val="22"/>
                <w:lang w:val="id-ID"/>
              </w:rPr>
              <w:t>and Market</w:t>
            </w:r>
          </w:p>
        </w:tc>
        <w:tc>
          <w:tcPr>
            <w:tcW w:w="1200" w:type="dxa"/>
            <w:tcBorders>
              <w:top w:val="nil"/>
              <w:left w:val="nil"/>
              <w:bottom w:val="single" w:sz="4" w:space="0" w:color="auto"/>
              <w:right w:val="nil"/>
            </w:tcBorders>
            <w:shd w:val="clear" w:color="auto" w:fill="auto"/>
            <w:noWrap/>
            <w:hideMark/>
          </w:tcPr>
          <w:p w:rsidR="00172522" w:rsidRPr="000C7281" w:rsidRDefault="00172522" w:rsidP="00172522">
            <w:pPr>
              <w:jc w:val="both"/>
              <w:rPr>
                <w:sz w:val="22"/>
                <w:szCs w:val="22"/>
              </w:rPr>
            </w:pPr>
            <w:r w:rsidRPr="000C7281">
              <w:rPr>
                <w:sz w:val="22"/>
                <w:szCs w:val="22"/>
              </w:rPr>
              <w:t>1.53</w:t>
            </w:r>
          </w:p>
        </w:tc>
        <w:tc>
          <w:tcPr>
            <w:tcW w:w="1200" w:type="dxa"/>
            <w:tcBorders>
              <w:top w:val="nil"/>
              <w:left w:val="nil"/>
              <w:bottom w:val="single" w:sz="4" w:space="0" w:color="auto"/>
              <w:right w:val="nil"/>
            </w:tcBorders>
            <w:shd w:val="clear" w:color="auto" w:fill="auto"/>
            <w:noWrap/>
            <w:hideMark/>
          </w:tcPr>
          <w:p w:rsidR="00172522" w:rsidRPr="000C7281" w:rsidRDefault="00172522" w:rsidP="00172522">
            <w:pPr>
              <w:jc w:val="both"/>
              <w:rPr>
                <w:sz w:val="22"/>
                <w:szCs w:val="22"/>
              </w:rPr>
            </w:pPr>
            <w:r w:rsidRPr="000C7281">
              <w:rPr>
                <w:sz w:val="22"/>
                <w:szCs w:val="22"/>
              </w:rPr>
              <w:t>0.50</w:t>
            </w:r>
          </w:p>
        </w:tc>
      </w:tr>
    </w:tbl>
    <w:p w:rsidR="00172522" w:rsidRPr="000C7281" w:rsidRDefault="00172522" w:rsidP="00172522">
      <w:pPr>
        <w:spacing w:after="240"/>
        <w:jc w:val="both"/>
        <w:rPr>
          <w:sz w:val="22"/>
          <w:szCs w:val="22"/>
        </w:rPr>
      </w:pPr>
      <w:r w:rsidRPr="000C7281">
        <w:rPr>
          <w:sz w:val="22"/>
          <w:szCs w:val="22"/>
          <w:lang w:val="en-ID"/>
        </w:rPr>
        <w:t>Source</w:t>
      </w:r>
      <w:r w:rsidRPr="000C7281">
        <w:rPr>
          <w:sz w:val="22"/>
          <w:szCs w:val="22"/>
        </w:rPr>
        <w:t xml:space="preserve">: </w:t>
      </w:r>
      <w:r w:rsidRPr="000C7281">
        <w:rPr>
          <w:sz w:val="22"/>
          <w:szCs w:val="22"/>
          <w:lang w:val="en-ID"/>
        </w:rPr>
        <w:t xml:space="preserve">Analysed </w:t>
      </w:r>
      <w:r w:rsidRPr="000C7281">
        <w:rPr>
          <w:sz w:val="22"/>
          <w:szCs w:val="22"/>
        </w:rPr>
        <w:t xml:space="preserve">from </w:t>
      </w:r>
      <w:r w:rsidR="000C7281" w:rsidRPr="000C7281">
        <w:rPr>
          <w:sz w:val="22"/>
          <w:szCs w:val="22"/>
        </w:rPr>
        <w:t xml:space="preserve">interviewing managers of rural economic institutions </w:t>
      </w:r>
      <w:r w:rsidRPr="000C7281">
        <w:rPr>
          <w:sz w:val="22"/>
          <w:szCs w:val="22"/>
        </w:rPr>
        <w:t>(201</w:t>
      </w:r>
      <w:r w:rsidRPr="000C7281">
        <w:rPr>
          <w:sz w:val="22"/>
          <w:szCs w:val="22"/>
          <w:lang w:val="id-ID"/>
        </w:rPr>
        <w:t>7</w:t>
      </w:r>
      <w:r w:rsidRPr="000C7281">
        <w:rPr>
          <w:sz w:val="22"/>
          <w:szCs w:val="22"/>
        </w:rPr>
        <w:t>)</w:t>
      </w:r>
    </w:p>
    <w:p w:rsidR="00172522" w:rsidRPr="000C7281" w:rsidRDefault="00172522" w:rsidP="00172522">
      <w:pPr>
        <w:spacing w:after="240"/>
        <w:jc w:val="both"/>
        <w:rPr>
          <w:sz w:val="22"/>
          <w:szCs w:val="22"/>
        </w:rPr>
      </w:pPr>
    </w:p>
    <w:p w:rsidR="00172522" w:rsidRPr="000C7281" w:rsidRDefault="00172522" w:rsidP="00172522">
      <w:pPr>
        <w:spacing w:after="240"/>
        <w:ind w:firstLine="426"/>
        <w:jc w:val="both"/>
        <w:rPr>
          <w:sz w:val="22"/>
          <w:szCs w:val="22"/>
        </w:rPr>
      </w:pPr>
      <w:r w:rsidRPr="000C7281">
        <w:rPr>
          <w:sz w:val="22"/>
          <w:szCs w:val="22"/>
        </w:rPr>
        <w:t xml:space="preserve">As for the policy and regulation, the average respondent's perception of policies and regulations is supportive (on average = </w:t>
      </w:r>
      <w:r w:rsidRPr="000C7281">
        <w:rPr>
          <w:sz w:val="22"/>
          <w:szCs w:val="22"/>
          <w:lang w:val="id-ID"/>
        </w:rPr>
        <w:t>1</w:t>
      </w:r>
      <w:r w:rsidRPr="000C7281">
        <w:rPr>
          <w:sz w:val="22"/>
          <w:szCs w:val="22"/>
        </w:rPr>
        <w:t>.</w:t>
      </w:r>
      <w:r w:rsidRPr="000C7281">
        <w:rPr>
          <w:sz w:val="22"/>
          <w:szCs w:val="22"/>
          <w:lang w:val="id-ID"/>
        </w:rPr>
        <w:t>92</w:t>
      </w:r>
      <w:r w:rsidRPr="000C7281">
        <w:rPr>
          <w:sz w:val="22"/>
          <w:szCs w:val="22"/>
        </w:rPr>
        <w:t xml:space="preserve">). In terms of indicator, the average </w:t>
      </w:r>
      <w:r w:rsidRPr="000C7281">
        <w:rPr>
          <w:sz w:val="22"/>
          <w:szCs w:val="22"/>
          <w:lang w:val="id-ID"/>
        </w:rPr>
        <w:t xml:space="preserve">of </w:t>
      </w:r>
      <w:r w:rsidRPr="000C7281">
        <w:rPr>
          <w:sz w:val="22"/>
          <w:szCs w:val="22"/>
        </w:rPr>
        <w:t xml:space="preserve">respondent's perception of the fiscal incentivesfor innovation activities and </w:t>
      </w:r>
      <w:r w:rsidRPr="000C7281">
        <w:rPr>
          <w:sz w:val="22"/>
          <w:szCs w:val="22"/>
          <w:lang w:val="id-ID"/>
        </w:rPr>
        <w:t>w</w:t>
      </w:r>
      <w:r w:rsidRPr="000C7281">
        <w:rPr>
          <w:sz w:val="22"/>
          <w:szCs w:val="22"/>
        </w:rPr>
        <w:t xml:space="preserve">arranty of healthy business competition is sufficiently supportive (average = 2.27 and 2.23), however the respondent's perception of the protection policy of Intellectual Property Rights (IPR) is still low supportive (average = 1.25). The average respondent's perception of the availability of fiscal incentives is </w:t>
      </w:r>
      <w:r w:rsidRPr="000C7281">
        <w:rPr>
          <w:sz w:val="22"/>
          <w:szCs w:val="22"/>
          <w:lang w:val="id-ID"/>
        </w:rPr>
        <w:t>low</w:t>
      </w:r>
      <w:r w:rsidRPr="000C7281">
        <w:rPr>
          <w:sz w:val="22"/>
          <w:szCs w:val="22"/>
        </w:rPr>
        <w:t>, this can be caused there were already fiscal incentives for innovation activity, yet the absorption capacity of innovation grants was low. Fiscal incentives: Operational Funds for the Rural Knowledge and Innovation Program Activities, Operational Funds for Strengthening Technical Service Providers. Respondents' perception of the Intellectual Property Rights (HKI) protection policy was still low. Innovations made by individuals, companies, institutions were easily adopted without considering Intellectual Property Rights. The regulation concerning Intellectual Property Rights is actually available, but the implementation of law enforcement against violations of Intellectual Property Rights has not been supportive.</w:t>
      </w:r>
    </w:p>
    <w:p w:rsidR="00172522" w:rsidRPr="000C7281" w:rsidRDefault="00172522" w:rsidP="00172522">
      <w:pPr>
        <w:spacing w:after="240"/>
        <w:ind w:firstLine="426"/>
        <w:jc w:val="both"/>
        <w:rPr>
          <w:sz w:val="22"/>
          <w:szCs w:val="22"/>
          <w:lang w:val="id-ID"/>
        </w:rPr>
      </w:pPr>
      <w:r w:rsidRPr="000C7281">
        <w:rPr>
          <w:sz w:val="22"/>
          <w:szCs w:val="22"/>
        </w:rPr>
        <w:t>In terms of innovation infrastructure</w:t>
      </w:r>
      <w:r w:rsidRPr="000C7281">
        <w:rPr>
          <w:sz w:val="22"/>
          <w:szCs w:val="22"/>
          <w:lang w:val="id-ID"/>
        </w:rPr>
        <w:t xml:space="preserve"> (INOV)</w:t>
      </w:r>
      <w:r w:rsidRPr="000C7281">
        <w:rPr>
          <w:sz w:val="22"/>
          <w:szCs w:val="22"/>
        </w:rPr>
        <w:t>, in general the respondent's perception of the innovation infrastructure has supported (on average = 2.01) both in the aspect of Access to Financial support, level of use of ICT in rural areas</w:t>
      </w:r>
      <w:r w:rsidRPr="000C7281">
        <w:rPr>
          <w:sz w:val="22"/>
          <w:szCs w:val="22"/>
          <w:lang w:val="id-ID"/>
        </w:rPr>
        <w:t>, c</w:t>
      </w:r>
      <w:r w:rsidRPr="000C7281">
        <w:rPr>
          <w:sz w:val="22"/>
          <w:szCs w:val="22"/>
        </w:rPr>
        <w:t>ondition of ICT infrastructure in rural areas</w:t>
      </w:r>
      <w:r w:rsidRPr="000C7281">
        <w:rPr>
          <w:sz w:val="22"/>
          <w:szCs w:val="22"/>
          <w:lang w:val="id-ID"/>
        </w:rPr>
        <w:t xml:space="preserve">, </w:t>
      </w:r>
      <w:r w:rsidRPr="000C7281">
        <w:rPr>
          <w:sz w:val="22"/>
          <w:szCs w:val="22"/>
        </w:rPr>
        <w:t>Facilitator Capacity</w:t>
      </w:r>
      <w:r w:rsidRPr="000C7281">
        <w:rPr>
          <w:sz w:val="22"/>
          <w:szCs w:val="22"/>
          <w:lang w:val="id-ID"/>
        </w:rPr>
        <w:t xml:space="preserve"> and </w:t>
      </w:r>
      <w:r w:rsidRPr="000C7281">
        <w:rPr>
          <w:sz w:val="22"/>
          <w:szCs w:val="22"/>
        </w:rPr>
        <w:t>HR training.</w:t>
      </w:r>
      <w:r w:rsidRPr="000C7281">
        <w:rPr>
          <w:sz w:val="22"/>
          <w:szCs w:val="22"/>
          <w:lang w:val="id-ID"/>
        </w:rPr>
        <w:t xml:space="preserve"> The rural Innovation Program (PID) is a program designed to encourage and facilitate the strengthening of village capacity oriented to meet the target of the RPJM Kemendesa PDTT-the priority program of the Village Official of PDTT, through raising rural productivity based on the development of entrepreneurship, improving the quality of human resources (HR) and fulfilling and increasing rural infrastructure. In connection with the capacity of innovation infrastructure, generally there have been guidelines for rural innovation, innovation grant funds, assistance, innovation / appropriate technology exchanges facilitating innovators (at the level of economic institutions) to conduct rural innovation activity. Recently, information technology infrastructure has reached remote villages in Semarang Regency, but the development of information and communication technology in rural areas has not been used optimally. Training has also been conducted to improve the entrepreneurial capacity of institutional administrators in rural areas. </w:t>
      </w:r>
      <w:r w:rsidRPr="000C7281">
        <w:rPr>
          <w:sz w:val="22"/>
          <w:szCs w:val="22"/>
        </w:rPr>
        <w:t xml:space="preserve">In coaching and controlling the PID, government is assisted by professional assistants. In accordance with Government Regulation No. 47 of 2015 concerning Amendments to Government Regulation No. 43 of 2014 about Regulation of the Implementation of Law Number 6 of 2014 concerning Villages and the Regulation of the Village Officials, Development of Disadvantaged Regions and Transmigration No. 3 of 2014 concerning Village Facilitators who also explains the position of Experts at the District level as Professional Assistants in helping facilitate village development and empowerment. The Directorate General of Development and Empowerment of Rural Community, the Village Officials, Development of Disadvantaged Areas and Transmigration stipulates and issues Administrative-Operational Standards and Procedures (OSP) and PID </w:t>
      </w:r>
      <w:r w:rsidRPr="000C7281">
        <w:rPr>
          <w:sz w:val="22"/>
          <w:szCs w:val="22"/>
        </w:rPr>
        <w:lastRenderedPageBreak/>
        <w:t>Assistance Reporting. Such an OSP contains the main issues related to the implementation of the Rural Innovation Program Assistance through efforts made by the Government, Provincial Government, District / City Government, Third Party or Rural community participation. It is also used as a means to help ensure transparency and accountability in the implementation of the Rural Innovation Program so that it can reflect the governance of rural development and empowerment that is intertwined to the Self Governing Community.</w:t>
      </w:r>
      <w:r w:rsidRPr="000C7281">
        <w:rPr>
          <w:sz w:val="22"/>
          <w:szCs w:val="22"/>
          <w:lang w:val="id-ID"/>
        </w:rPr>
        <w:t xml:space="preserve"> Despite the availability of regulations, Operational Standards and Procedures, however the results of the study found that the facilitators capacity was inadequate (average = 1.91). This is because it is not easy to find a companion capacity for village institutions with agricultural environmental characteristics, complex markets. The challenge of facilitators village institutions is more complex than the role in empowering farmers as individuals or farmer groups (only production focus). The companion must have marketing and networking capacity, quality management and farm risk management, but on the other hand the background that has never been an entrepreneur or manager in an agricultural business is an obstacle in that role.</w:t>
      </w:r>
    </w:p>
    <w:p w:rsidR="00172522" w:rsidRPr="000C7281" w:rsidRDefault="00172522" w:rsidP="00172522">
      <w:pPr>
        <w:spacing w:after="240"/>
        <w:ind w:firstLine="709"/>
        <w:jc w:val="both"/>
        <w:rPr>
          <w:sz w:val="22"/>
          <w:szCs w:val="22"/>
        </w:rPr>
      </w:pPr>
      <w:r w:rsidRPr="000C7281">
        <w:rPr>
          <w:sz w:val="22"/>
          <w:szCs w:val="22"/>
        </w:rPr>
        <w:t xml:space="preserve">In terms of institutional capacity, </w:t>
      </w:r>
      <w:r w:rsidRPr="000C7281">
        <w:rPr>
          <w:sz w:val="22"/>
          <w:szCs w:val="22"/>
          <w:lang w:val="id-ID"/>
        </w:rPr>
        <w:t>t</w:t>
      </w:r>
      <w:r w:rsidRPr="000C7281">
        <w:rPr>
          <w:sz w:val="22"/>
          <w:szCs w:val="22"/>
        </w:rPr>
        <w:t>he rural institutions tended to have low management and governance capacity (</w:t>
      </w:r>
      <w:r w:rsidRPr="000C7281">
        <w:rPr>
          <w:sz w:val="22"/>
          <w:szCs w:val="22"/>
          <w:lang w:val="id-ID"/>
        </w:rPr>
        <w:t>mean</w:t>
      </w:r>
      <w:r w:rsidRPr="000C7281">
        <w:rPr>
          <w:sz w:val="22"/>
          <w:szCs w:val="22"/>
        </w:rPr>
        <w:t>= 1,87)</w:t>
      </w:r>
      <w:r w:rsidRPr="000C7281">
        <w:rPr>
          <w:sz w:val="22"/>
          <w:szCs w:val="22"/>
          <w:lang w:val="id-ID"/>
        </w:rPr>
        <w:t>.</w:t>
      </w:r>
      <w:r w:rsidRPr="000C7281">
        <w:rPr>
          <w:sz w:val="22"/>
          <w:szCs w:val="22"/>
        </w:rPr>
        <w:t xml:space="preserve"> Management of rural institutions capacity was low in aspects of:</w:t>
      </w:r>
      <w:r w:rsidRPr="000C7281">
        <w:rPr>
          <w:sz w:val="22"/>
          <w:szCs w:val="22"/>
          <w:lang w:val="id-ID"/>
        </w:rPr>
        <w:t xml:space="preserve"> administration capacity</w:t>
      </w:r>
      <w:r w:rsidRPr="000C7281">
        <w:rPr>
          <w:sz w:val="22"/>
          <w:szCs w:val="22"/>
        </w:rPr>
        <w:t xml:space="preserve"> (</w:t>
      </w:r>
      <w:r w:rsidRPr="000C7281">
        <w:rPr>
          <w:sz w:val="22"/>
          <w:szCs w:val="22"/>
          <w:lang w:val="id-ID"/>
        </w:rPr>
        <w:t>mean</w:t>
      </w:r>
      <w:r w:rsidRPr="000C7281">
        <w:rPr>
          <w:sz w:val="22"/>
          <w:szCs w:val="22"/>
        </w:rPr>
        <w:t xml:space="preserve">= 1,80), </w:t>
      </w:r>
      <w:r w:rsidRPr="000C7281">
        <w:rPr>
          <w:sz w:val="22"/>
          <w:szCs w:val="22"/>
          <w:lang w:val="id-ID"/>
        </w:rPr>
        <w:t>management capacity</w:t>
      </w:r>
      <w:r w:rsidRPr="000C7281">
        <w:rPr>
          <w:sz w:val="22"/>
          <w:szCs w:val="22"/>
        </w:rPr>
        <w:t xml:space="preserve"> (</w:t>
      </w:r>
      <w:r w:rsidRPr="000C7281">
        <w:rPr>
          <w:sz w:val="22"/>
          <w:szCs w:val="22"/>
          <w:lang w:val="id-ID"/>
        </w:rPr>
        <w:t>mean</w:t>
      </w:r>
      <w:r w:rsidRPr="000C7281">
        <w:rPr>
          <w:sz w:val="22"/>
          <w:szCs w:val="22"/>
        </w:rPr>
        <w:t xml:space="preserve"> = 1,77) </w:t>
      </w:r>
      <w:r w:rsidRPr="000C7281">
        <w:rPr>
          <w:sz w:val="22"/>
          <w:szCs w:val="22"/>
          <w:lang w:val="id-ID"/>
        </w:rPr>
        <w:t>andgovernance capacity</w:t>
      </w:r>
      <w:r w:rsidRPr="000C7281">
        <w:rPr>
          <w:sz w:val="22"/>
          <w:szCs w:val="22"/>
        </w:rPr>
        <w:t xml:space="preserve"> (rata-rata= 1,77).Rural institutions such as </w:t>
      </w:r>
      <w:r w:rsidRPr="000C7281">
        <w:rPr>
          <w:i/>
          <w:sz w:val="22"/>
          <w:szCs w:val="22"/>
        </w:rPr>
        <w:t>Gapoktan</w:t>
      </w:r>
      <w:r w:rsidRPr="000C7281">
        <w:rPr>
          <w:sz w:val="22"/>
          <w:szCs w:val="22"/>
        </w:rPr>
        <w:t xml:space="preserve"> and </w:t>
      </w:r>
      <w:r w:rsidRPr="000C7281">
        <w:rPr>
          <w:i/>
          <w:sz w:val="22"/>
          <w:szCs w:val="22"/>
        </w:rPr>
        <w:t>Bumdes</w:t>
      </w:r>
      <w:r w:rsidRPr="000C7281">
        <w:rPr>
          <w:sz w:val="22"/>
          <w:szCs w:val="22"/>
        </w:rPr>
        <w:t xml:space="preserve"> were born in the era of free trade and changes in the agricultural environment and dynamic markets, while the rural environment in general is still traditional.</w:t>
      </w:r>
      <w:r w:rsidRPr="000C7281">
        <w:rPr>
          <w:sz w:val="22"/>
          <w:szCs w:val="22"/>
          <w:lang w:val="id-ID"/>
        </w:rPr>
        <w:t xml:space="preserve"> Rural institution</w:t>
      </w:r>
      <w:r w:rsidRPr="000C7281">
        <w:rPr>
          <w:sz w:val="22"/>
          <w:szCs w:val="22"/>
        </w:rPr>
        <w:t xml:space="preserve">, like any other socio-economic organizations in rural areas are usually still managed traditionally such as, lack of administrative records because they are not accustomed to developing organizational accountability reports, are not familiar with work plans, are based on centralized decisions on the role of local leaders and are lack of member participation. Furthermore, agriculture is production-oriented in nature or is performed as what exactly done from one generation to another. It is not market-oriented and has not been integrated between upstream and downstream businesses; the actors are used to being dependant (on Government funding assistance, the information, knowledge and experience of the elder or agricultural counselor). These cause the image that rural institutions are just similar to other organizations such as farmer groups, </w:t>
      </w:r>
      <w:r w:rsidRPr="000C7281">
        <w:rPr>
          <w:i/>
          <w:sz w:val="22"/>
          <w:szCs w:val="22"/>
        </w:rPr>
        <w:t>arisan</w:t>
      </w:r>
      <w:r w:rsidRPr="000C7281">
        <w:rPr>
          <w:sz w:val="22"/>
          <w:szCs w:val="22"/>
        </w:rPr>
        <w:t xml:space="preserve"> groups, that is, the organizations which focus on providing assistance and have not created an entrepreneurial culture, </w:t>
      </w:r>
      <w:r w:rsidRPr="000C7281">
        <w:rPr>
          <w:i/>
          <w:sz w:val="22"/>
          <w:szCs w:val="22"/>
        </w:rPr>
        <w:t>Gapoktan</w:t>
      </w:r>
      <w:r w:rsidRPr="000C7281">
        <w:rPr>
          <w:sz w:val="22"/>
          <w:szCs w:val="22"/>
        </w:rPr>
        <w:t xml:space="preserve"> and </w:t>
      </w:r>
      <w:r w:rsidRPr="000C7281">
        <w:rPr>
          <w:i/>
          <w:sz w:val="22"/>
          <w:szCs w:val="22"/>
        </w:rPr>
        <w:t>Bumdes</w:t>
      </w:r>
      <w:r w:rsidRPr="000C7281">
        <w:rPr>
          <w:sz w:val="22"/>
          <w:szCs w:val="22"/>
        </w:rPr>
        <w:t xml:space="preserve">, as farmer institutions is a more complex organization than other ones in rural communities (such as: farmer groups, </w:t>
      </w:r>
      <w:r w:rsidRPr="000C7281">
        <w:rPr>
          <w:i/>
          <w:sz w:val="22"/>
          <w:szCs w:val="22"/>
        </w:rPr>
        <w:t>arisan</w:t>
      </w:r>
      <w:r w:rsidRPr="000C7281">
        <w:rPr>
          <w:sz w:val="22"/>
          <w:szCs w:val="22"/>
        </w:rPr>
        <w:t xml:space="preserve"> groups, arts groups and other social and religious organizations). </w:t>
      </w:r>
      <w:r w:rsidRPr="000C7281">
        <w:rPr>
          <w:i/>
          <w:sz w:val="22"/>
          <w:szCs w:val="22"/>
        </w:rPr>
        <w:t>Gapoktan</w:t>
      </w:r>
      <w:r w:rsidRPr="000C7281">
        <w:rPr>
          <w:sz w:val="22"/>
          <w:szCs w:val="22"/>
        </w:rPr>
        <w:t xml:space="preserve"> includes various business units, not only agricultural production, but also is expected to be developed to have (Ministry of Agriculture, 2007): marketing business units, capital business units, management of production inputs, agricultural product processing.</w:t>
      </w:r>
    </w:p>
    <w:p w:rsidR="00172522" w:rsidRPr="000C7281" w:rsidRDefault="00172522" w:rsidP="00172522">
      <w:pPr>
        <w:spacing w:after="240"/>
        <w:ind w:firstLine="567"/>
        <w:jc w:val="both"/>
        <w:rPr>
          <w:sz w:val="22"/>
          <w:szCs w:val="22"/>
        </w:rPr>
      </w:pPr>
      <w:r w:rsidRPr="000C7281">
        <w:rPr>
          <w:sz w:val="22"/>
          <w:szCs w:val="22"/>
        </w:rPr>
        <w:t>In terms of culture of innovation,</w:t>
      </w:r>
      <w:r w:rsidRPr="000C7281">
        <w:rPr>
          <w:sz w:val="22"/>
          <w:szCs w:val="22"/>
          <w:lang w:val="id-ID"/>
        </w:rPr>
        <w:t xml:space="preserve"> i</w:t>
      </w:r>
      <w:r w:rsidRPr="000C7281">
        <w:rPr>
          <w:sz w:val="22"/>
          <w:szCs w:val="22"/>
        </w:rPr>
        <w:t xml:space="preserve">nnovation culture </w:t>
      </w:r>
      <w:r w:rsidRPr="000C7281">
        <w:rPr>
          <w:sz w:val="22"/>
          <w:szCs w:val="22"/>
          <w:lang w:val="id-ID"/>
        </w:rPr>
        <w:t>in t</w:t>
      </w:r>
      <w:r w:rsidRPr="000C7281">
        <w:rPr>
          <w:sz w:val="22"/>
          <w:szCs w:val="22"/>
        </w:rPr>
        <w:t xml:space="preserve">he rural economic institutions in Semarang Regency in general are low (mean = 1.99). The </w:t>
      </w:r>
      <w:r w:rsidRPr="000C7281">
        <w:rPr>
          <w:sz w:val="22"/>
          <w:szCs w:val="22"/>
          <w:lang w:val="id-ID"/>
        </w:rPr>
        <w:t>rural</w:t>
      </w:r>
      <w:r w:rsidRPr="000C7281">
        <w:rPr>
          <w:sz w:val="22"/>
          <w:szCs w:val="22"/>
        </w:rPr>
        <w:t xml:space="preserve"> economic institutions in Semarang Regency generally have a high level of awareness of traditional knowledge (average = 2.59).</w:t>
      </w:r>
      <w:r w:rsidRPr="000C7281">
        <w:rPr>
          <w:sz w:val="22"/>
          <w:szCs w:val="22"/>
          <w:lang w:val="id-ID"/>
        </w:rPr>
        <w:t xml:space="preserve"> R</w:t>
      </w:r>
      <w:r w:rsidRPr="000C7281">
        <w:rPr>
          <w:sz w:val="22"/>
          <w:szCs w:val="22"/>
        </w:rPr>
        <w:t xml:space="preserve">ural areas in Semarang Regency had many sources of local wisdom, such as: culture of helping each other, mutual cooperation, prioritizing public interests rather than those of personal and community </w:t>
      </w:r>
      <w:r w:rsidRPr="000C7281">
        <w:rPr>
          <w:i/>
          <w:sz w:val="22"/>
          <w:szCs w:val="22"/>
        </w:rPr>
        <w:t>(talk less do moresepi ing pamrih, rame ing gawe)</w:t>
      </w:r>
      <w:r w:rsidRPr="000C7281">
        <w:rPr>
          <w:sz w:val="22"/>
          <w:szCs w:val="22"/>
        </w:rPr>
        <w:t xml:space="preserve">, and resource management which was environmentally friendly. However, they tended to be resistance of change. Entrepreneurial culture in rural communities in Semarang district was commonly low. On the other hand, farmers / groups were likely to be dependant (relying on government funding assistance, the information, and the knowledge and experience of the elder or agricultural counselor). Regarding the level of concern for traditional knowledge, knowledge of local wisdom was a unique knowledge resource, and valuable for it was not easily replicable and </w:t>
      </w:r>
      <w:r w:rsidRPr="000C7281">
        <w:rPr>
          <w:sz w:val="22"/>
          <w:szCs w:val="22"/>
        </w:rPr>
        <w:lastRenderedPageBreak/>
        <w:t>irreplaceable; not only it was a source of competitive advantage but also often provided wisdom in balanced and sustainable management of the environment (physically, socially, and spiritually).</w:t>
      </w:r>
    </w:p>
    <w:p w:rsidR="00172522" w:rsidRPr="000C7281" w:rsidRDefault="00172522" w:rsidP="00172522">
      <w:pPr>
        <w:spacing w:after="240"/>
        <w:ind w:firstLine="567"/>
        <w:jc w:val="both"/>
        <w:rPr>
          <w:sz w:val="22"/>
          <w:szCs w:val="22"/>
        </w:rPr>
      </w:pPr>
      <w:r w:rsidRPr="000C7281">
        <w:rPr>
          <w:sz w:val="22"/>
          <w:szCs w:val="22"/>
        </w:rPr>
        <w:t>In terms of knowledge managementcapacity, in general the respondents' perception of knowledge management capacity is still low (average = 1.57) both in the aspects of knowledge management (acquisition, sharing and analysis) of the market, access to funding and adoption of appropriate technology. In terms of infrastructure, the use of information technology has reached rural areas, however knowledge management activities have not been optimal. Innovators at the level of economic institutions in rural areas need a knowledge management system that facilitates them in carrying out innovation activity, such as in: choosing effective technologies, problem solving-based innovation exchange, applications for developing innovation proposals, reporting on the use of funds which is connected with stakeholders (like institution facilitators, government institutions, financial institutions, and insurance institutions).</w:t>
      </w:r>
    </w:p>
    <w:p w:rsidR="00172522" w:rsidRPr="000C7281" w:rsidRDefault="00172522" w:rsidP="00172522">
      <w:pPr>
        <w:spacing w:after="240"/>
        <w:ind w:firstLine="426"/>
        <w:jc w:val="both"/>
        <w:rPr>
          <w:sz w:val="22"/>
          <w:szCs w:val="22"/>
        </w:rPr>
      </w:pPr>
      <w:r w:rsidRPr="000C7281">
        <w:rPr>
          <w:sz w:val="22"/>
          <w:szCs w:val="22"/>
        </w:rPr>
        <w:t>The result of the regression equation of the factors influencing the Innovation</w:t>
      </w:r>
      <w:r w:rsidRPr="000C7281">
        <w:rPr>
          <w:sz w:val="22"/>
          <w:szCs w:val="22"/>
          <w:lang w:val="id-ID"/>
        </w:rPr>
        <w:t xml:space="preserve"> (</w:t>
      </w:r>
      <w:r w:rsidRPr="000C7281">
        <w:rPr>
          <w:sz w:val="22"/>
          <w:szCs w:val="22"/>
        </w:rPr>
        <w:t>Table 3</w:t>
      </w:r>
      <w:r w:rsidRPr="000C7281">
        <w:rPr>
          <w:sz w:val="22"/>
          <w:szCs w:val="22"/>
          <w:lang w:val="id-ID"/>
        </w:rPr>
        <w:t>)</w:t>
      </w:r>
      <w:r w:rsidRPr="000C7281">
        <w:rPr>
          <w:sz w:val="22"/>
          <w:szCs w:val="22"/>
        </w:rPr>
        <w:t xml:space="preserve"> was proved through F-test value of 13.796, with the level of significance at the error rate of 1%. This result also showed simultaneously the factors in the model had a significant effect on the accumulation of assets. Based on the result of the regression equation, R2 value was 0.</w:t>
      </w:r>
      <w:r w:rsidRPr="000C7281">
        <w:rPr>
          <w:sz w:val="22"/>
          <w:szCs w:val="22"/>
          <w:lang w:val="id-ID"/>
        </w:rPr>
        <w:t>368</w:t>
      </w:r>
      <w:r w:rsidRPr="000C7281">
        <w:rPr>
          <w:sz w:val="22"/>
          <w:szCs w:val="22"/>
        </w:rPr>
        <w:t xml:space="preserve"> or </w:t>
      </w:r>
      <w:r w:rsidRPr="000C7281">
        <w:rPr>
          <w:sz w:val="22"/>
          <w:szCs w:val="22"/>
          <w:lang w:val="id-ID"/>
        </w:rPr>
        <w:t>36</w:t>
      </w:r>
      <w:r w:rsidRPr="000C7281">
        <w:rPr>
          <w:sz w:val="22"/>
          <w:szCs w:val="22"/>
        </w:rPr>
        <w:t>.</w:t>
      </w:r>
      <w:r w:rsidRPr="000C7281">
        <w:rPr>
          <w:sz w:val="22"/>
          <w:szCs w:val="22"/>
          <w:lang w:val="id-ID"/>
        </w:rPr>
        <w:t>8</w:t>
      </w:r>
      <w:r w:rsidRPr="000C7281">
        <w:rPr>
          <w:sz w:val="22"/>
          <w:szCs w:val="22"/>
        </w:rPr>
        <w:t xml:space="preserve">% which reflected that all independent variables were able to explain the change variations, i.e. the increase or decrease in the dependent variable (accumulated assets of the institution) of </w:t>
      </w:r>
      <w:r w:rsidRPr="000C7281">
        <w:rPr>
          <w:sz w:val="22"/>
          <w:szCs w:val="22"/>
          <w:lang w:val="id-ID"/>
        </w:rPr>
        <w:t>36</w:t>
      </w:r>
      <w:r w:rsidRPr="000C7281">
        <w:rPr>
          <w:sz w:val="22"/>
          <w:szCs w:val="22"/>
        </w:rPr>
        <w:t>.</w:t>
      </w:r>
      <w:r w:rsidRPr="000C7281">
        <w:rPr>
          <w:sz w:val="22"/>
          <w:szCs w:val="22"/>
          <w:lang w:val="id-ID"/>
        </w:rPr>
        <w:t>8</w:t>
      </w:r>
      <w:r w:rsidRPr="000C7281">
        <w:rPr>
          <w:sz w:val="22"/>
          <w:szCs w:val="22"/>
        </w:rPr>
        <w:t xml:space="preserve">%, while the remaining, that was </w:t>
      </w:r>
      <w:r w:rsidRPr="000C7281">
        <w:rPr>
          <w:sz w:val="22"/>
          <w:szCs w:val="22"/>
          <w:lang w:val="id-ID"/>
        </w:rPr>
        <w:t>63,2</w:t>
      </w:r>
      <w:r w:rsidRPr="000C7281">
        <w:rPr>
          <w:sz w:val="22"/>
          <w:szCs w:val="22"/>
          <w:lang w:val="nb-NO"/>
        </w:rPr>
        <w:t>%</w:t>
      </w:r>
      <w:r w:rsidRPr="000C7281">
        <w:rPr>
          <w:sz w:val="22"/>
          <w:szCs w:val="22"/>
        </w:rPr>
        <w:t>, was influenced by other variables excluded in this research model.</w:t>
      </w:r>
    </w:p>
    <w:p w:rsidR="00172522" w:rsidRPr="000C7281" w:rsidRDefault="00172522" w:rsidP="00172522">
      <w:pPr>
        <w:spacing w:after="240"/>
        <w:ind w:firstLine="426"/>
        <w:jc w:val="both"/>
        <w:rPr>
          <w:sz w:val="22"/>
          <w:szCs w:val="22"/>
        </w:rPr>
      </w:pPr>
      <w:r w:rsidRPr="000C7281">
        <w:rPr>
          <w:sz w:val="22"/>
          <w:szCs w:val="22"/>
        </w:rPr>
        <w:t xml:space="preserve">The regression result of the </w:t>
      </w:r>
      <w:r w:rsidRPr="000C7281">
        <w:rPr>
          <w:sz w:val="22"/>
          <w:szCs w:val="22"/>
          <w:lang w:val="id-ID"/>
        </w:rPr>
        <w:t xml:space="preserve">effect of </w:t>
      </w:r>
      <w:r w:rsidRPr="000C7281">
        <w:rPr>
          <w:sz w:val="22"/>
          <w:szCs w:val="22"/>
        </w:rPr>
        <w:t xml:space="preserve">Innovation </w:t>
      </w:r>
      <w:r w:rsidRPr="000C7281">
        <w:rPr>
          <w:sz w:val="22"/>
          <w:szCs w:val="22"/>
          <w:lang w:val="id-ID"/>
        </w:rPr>
        <w:t>capacity on performance (</w:t>
      </w:r>
      <w:r w:rsidRPr="000C7281">
        <w:rPr>
          <w:sz w:val="22"/>
          <w:szCs w:val="22"/>
        </w:rPr>
        <w:t>Table 3</w:t>
      </w:r>
      <w:r w:rsidRPr="000C7281">
        <w:rPr>
          <w:sz w:val="22"/>
          <w:szCs w:val="22"/>
          <w:lang w:val="id-ID"/>
        </w:rPr>
        <w:t>)</w:t>
      </w:r>
      <w:r w:rsidRPr="000C7281">
        <w:rPr>
          <w:sz w:val="22"/>
          <w:szCs w:val="22"/>
        </w:rPr>
        <w:t xml:space="preserve"> was proved through F-test value was 427.692, while the model is significant at an error rate of 1%. These result also showed that simultaneously the factors in the model had a significant effect on the Institutional Innovation Capacity. Meanwhile, the result of the regression equation showed the R2 value of </w:t>
      </w:r>
      <w:r w:rsidRPr="000C7281">
        <w:rPr>
          <w:sz w:val="22"/>
          <w:szCs w:val="22"/>
          <w:lang w:val="nb-NO"/>
        </w:rPr>
        <w:t>0,</w:t>
      </w:r>
      <w:r w:rsidRPr="000C7281">
        <w:rPr>
          <w:sz w:val="22"/>
          <w:szCs w:val="22"/>
          <w:lang w:val="id-ID"/>
        </w:rPr>
        <w:t xml:space="preserve">795 </w:t>
      </w:r>
      <w:r w:rsidRPr="000C7281">
        <w:rPr>
          <w:sz w:val="22"/>
          <w:szCs w:val="22"/>
        </w:rPr>
        <w:t xml:space="preserve">or </w:t>
      </w:r>
      <w:r w:rsidRPr="000C7281">
        <w:rPr>
          <w:sz w:val="22"/>
          <w:szCs w:val="22"/>
          <w:lang w:val="id-ID"/>
        </w:rPr>
        <w:t>79,5</w:t>
      </w:r>
      <w:r w:rsidRPr="000C7281">
        <w:rPr>
          <w:sz w:val="22"/>
          <w:szCs w:val="22"/>
          <w:lang w:val="nb-NO"/>
        </w:rPr>
        <w:t xml:space="preserve">% </w:t>
      </w:r>
      <w:r w:rsidRPr="000C7281">
        <w:rPr>
          <w:sz w:val="22"/>
          <w:szCs w:val="22"/>
        </w:rPr>
        <w:t xml:space="preserve">which reflected that all independent variables were able to explain the change variations i.e. the increase or decrease in the dependent variable (non-dependence of subsidies) of </w:t>
      </w:r>
      <w:r w:rsidRPr="000C7281">
        <w:rPr>
          <w:sz w:val="22"/>
          <w:szCs w:val="22"/>
          <w:lang w:val="id-ID"/>
        </w:rPr>
        <w:t>79,5</w:t>
      </w:r>
      <w:r w:rsidRPr="000C7281">
        <w:rPr>
          <w:sz w:val="22"/>
          <w:szCs w:val="22"/>
          <w:lang w:val="nb-NO"/>
        </w:rPr>
        <w:t>%</w:t>
      </w:r>
      <w:r w:rsidRPr="000C7281">
        <w:rPr>
          <w:sz w:val="22"/>
          <w:szCs w:val="22"/>
        </w:rPr>
        <w:t>, while the remaining (</w:t>
      </w:r>
      <w:r w:rsidRPr="000C7281">
        <w:rPr>
          <w:sz w:val="22"/>
          <w:szCs w:val="22"/>
          <w:lang w:val="id-ID"/>
        </w:rPr>
        <w:t>20,5</w:t>
      </w:r>
      <w:r w:rsidRPr="000C7281">
        <w:rPr>
          <w:sz w:val="22"/>
          <w:szCs w:val="22"/>
          <w:lang w:val="nb-NO"/>
        </w:rPr>
        <w:t>%</w:t>
      </w:r>
      <w:r w:rsidRPr="000C7281">
        <w:rPr>
          <w:sz w:val="22"/>
          <w:szCs w:val="22"/>
        </w:rPr>
        <w:t>) was affected by other variables excluded in this research model.</w:t>
      </w:r>
    </w:p>
    <w:p w:rsidR="00172522" w:rsidRPr="000C7281" w:rsidRDefault="00172522" w:rsidP="00172522">
      <w:pPr>
        <w:spacing w:after="240"/>
        <w:jc w:val="both"/>
        <w:rPr>
          <w:i/>
          <w:sz w:val="22"/>
          <w:szCs w:val="22"/>
        </w:rPr>
      </w:pPr>
      <w:r w:rsidRPr="000C7281">
        <w:rPr>
          <w:i/>
          <w:sz w:val="22"/>
          <w:szCs w:val="22"/>
        </w:rPr>
        <w:t xml:space="preserve">Table </w:t>
      </w:r>
      <w:r w:rsidRPr="000C7281">
        <w:rPr>
          <w:i/>
          <w:sz w:val="22"/>
          <w:szCs w:val="22"/>
          <w:lang w:val="id-ID"/>
        </w:rPr>
        <w:t>3</w:t>
      </w:r>
      <w:r w:rsidRPr="000C7281">
        <w:rPr>
          <w:i/>
          <w:sz w:val="22"/>
          <w:szCs w:val="22"/>
        </w:rPr>
        <w:t xml:space="preserve"> The Regression Result </w:t>
      </w:r>
    </w:p>
    <w:tbl>
      <w:tblPr>
        <w:tblW w:w="8788" w:type="dxa"/>
        <w:jc w:val="center"/>
        <w:tblLayout w:type="fixed"/>
        <w:tblLook w:val="04A0"/>
      </w:tblPr>
      <w:tblGrid>
        <w:gridCol w:w="2268"/>
        <w:gridCol w:w="1559"/>
        <w:gridCol w:w="1985"/>
        <w:gridCol w:w="1701"/>
        <w:gridCol w:w="1275"/>
      </w:tblGrid>
      <w:tr w:rsidR="000C7281" w:rsidRPr="000C7281" w:rsidTr="000C7281">
        <w:trPr>
          <w:trHeight w:val="144"/>
          <w:jc w:val="center"/>
        </w:trPr>
        <w:tc>
          <w:tcPr>
            <w:tcW w:w="2268" w:type="dxa"/>
            <w:vMerge w:val="restart"/>
            <w:tcBorders>
              <w:top w:val="single" w:sz="4" w:space="0" w:color="auto"/>
              <w:left w:val="nil"/>
              <w:right w:val="nil"/>
            </w:tcBorders>
            <w:shd w:val="clear" w:color="auto" w:fill="FFFFFF"/>
          </w:tcPr>
          <w:p w:rsidR="00172522" w:rsidRPr="000C7281" w:rsidRDefault="00172522" w:rsidP="00172522">
            <w:pPr>
              <w:jc w:val="both"/>
              <w:rPr>
                <w:sz w:val="22"/>
                <w:szCs w:val="22"/>
              </w:rPr>
            </w:pPr>
          </w:p>
        </w:tc>
        <w:tc>
          <w:tcPr>
            <w:tcW w:w="3544" w:type="dxa"/>
            <w:gridSpan w:val="2"/>
            <w:tcBorders>
              <w:top w:val="single" w:sz="4" w:space="0" w:color="auto"/>
              <w:left w:val="nil"/>
              <w:bottom w:val="nil"/>
              <w:right w:val="nil"/>
            </w:tcBorders>
            <w:shd w:val="clear" w:color="auto" w:fill="FFFFFF"/>
            <w:vAlign w:val="center"/>
          </w:tcPr>
          <w:p w:rsidR="00172522" w:rsidRPr="000C7281" w:rsidRDefault="00172522" w:rsidP="00172522">
            <w:pPr>
              <w:jc w:val="center"/>
              <w:rPr>
                <w:b/>
                <w:bCs/>
                <w:sz w:val="22"/>
                <w:szCs w:val="22"/>
                <w:lang w:val="id-ID"/>
              </w:rPr>
            </w:pPr>
            <w:r w:rsidRPr="000C7281">
              <w:rPr>
                <w:b/>
                <w:bCs/>
                <w:sz w:val="22"/>
                <w:szCs w:val="22"/>
                <w:lang w:val="id-ID"/>
              </w:rPr>
              <w:t>Model 1</w:t>
            </w:r>
          </w:p>
          <w:p w:rsidR="00172522" w:rsidRPr="000C7281" w:rsidRDefault="00172522" w:rsidP="00172522">
            <w:pPr>
              <w:jc w:val="center"/>
              <w:rPr>
                <w:b/>
                <w:bCs/>
                <w:sz w:val="22"/>
                <w:szCs w:val="22"/>
                <w:lang w:val="id-ID"/>
              </w:rPr>
            </w:pPr>
            <w:r w:rsidRPr="000C7281">
              <w:rPr>
                <w:b/>
                <w:bCs/>
                <w:sz w:val="22"/>
                <w:szCs w:val="22"/>
                <w:lang w:val="id-ID"/>
              </w:rPr>
              <w:t>Innovation</w:t>
            </w:r>
          </w:p>
        </w:tc>
        <w:tc>
          <w:tcPr>
            <w:tcW w:w="2976" w:type="dxa"/>
            <w:gridSpan w:val="2"/>
            <w:tcBorders>
              <w:top w:val="single" w:sz="4" w:space="0" w:color="auto"/>
              <w:left w:val="nil"/>
              <w:bottom w:val="nil"/>
              <w:right w:val="nil"/>
            </w:tcBorders>
            <w:shd w:val="clear" w:color="auto" w:fill="FFFFFF"/>
            <w:vAlign w:val="center"/>
          </w:tcPr>
          <w:p w:rsidR="00172522" w:rsidRPr="000C7281" w:rsidRDefault="00172522" w:rsidP="00172522">
            <w:pPr>
              <w:jc w:val="center"/>
              <w:rPr>
                <w:b/>
                <w:bCs/>
                <w:sz w:val="22"/>
                <w:szCs w:val="22"/>
                <w:lang w:val="id-ID"/>
              </w:rPr>
            </w:pPr>
            <w:r w:rsidRPr="000C7281">
              <w:rPr>
                <w:b/>
                <w:bCs/>
                <w:sz w:val="22"/>
                <w:szCs w:val="22"/>
                <w:lang w:val="id-ID"/>
              </w:rPr>
              <w:t>Model 2</w:t>
            </w:r>
          </w:p>
          <w:p w:rsidR="00172522" w:rsidRPr="000C7281" w:rsidRDefault="00172522" w:rsidP="00172522">
            <w:pPr>
              <w:jc w:val="center"/>
              <w:rPr>
                <w:i/>
                <w:iCs/>
                <w:sz w:val="22"/>
                <w:szCs w:val="22"/>
              </w:rPr>
            </w:pPr>
            <w:r w:rsidRPr="000C7281">
              <w:rPr>
                <w:b/>
                <w:bCs/>
                <w:sz w:val="22"/>
                <w:szCs w:val="22"/>
                <w:lang w:val="id-ID"/>
              </w:rPr>
              <w:t>Asset Accumulation</w:t>
            </w:r>
          </w:p>
        </w:tc>
      </w:tr>
      <w:tr w:rsidR="000C7281" w:rsidRPr="000C7281" w:rsidTr="000C7281">
        <w:trPr>
          <w:trHeight w:val="144"/>
          <w:jc w:val="center"/>
        </w:trPr>
        <w:tc>
          <w:tcPr>
            <w:tcW w:w="2268" w:type="dxa"/>
            <w:vMerge/>
            <w:tcBorders>
              <w:left w:val="nil"/>
              <w:bottom w:val="nil"/>
              <w:right w:val="nil"/>
            </w:tcBorders>
            <w:shd w:val="clear" w:color="auto" w:fill="FFFFFF"/>
          </w:tcPr>
          <w:p w:rsidR="00172522" w:rsidRPr="000C7281" w:rsidRDefault="00172522" w:rsidP="00172522">
            <w:pPr>
              <w:jc w:val="both"/>
              <w:rPr>
                <w:sz w:val="22"/>
                <w:szCs w:val="22"/>
              </w:rPr>
            </w:pPr>
          </w:p>
        </w:tc>
        <w:tc>
          <w:tcPr>
            <w:tcW w:w="1559" w:type="dxa"/>
            <w:tcBorders>
              <w:top w:val="single" w:sz="4" w:space="0" w:color="auto"/>
              <w:left w:val="nil"/>
              <w:bottom w:val="nil"/>
              <w:right w:val="nil"/>
            </w:tcBorders>
            <w:shd w:val="clear" w:color="auto" w:fill="FFFFFF"/>
            <w:vAlign w:val="center"/>
          </w:tcPr>
          <w:p w:rsidR="00172522" w:rsidRPr="000C7281" w:rsidRDefault="00172522" w:rsidP="00172522">
            <w:pPr>
              <w:jc w:val="center"/>
              <w:rPr>
                <w:i/>
                <w:iCs/>
                <w:sz w:val="22"/>
                <w:szCs w:val="22"/>
              </w:rPr>
            </w:pPr>
            <w:r w:rsidRPr="000C7281">
              <w:rPr>
                <w:i/>
                <w:iCs/>
                <w:sz w:val="22"/>
                <w:szCs w:val="22"/>
              </w:rPr>
              <w:t>β</w:t>
            </w:r>
          </w:p>
        </w:tc>
        <w:tc>
          <w:tcPr>
            <w:tcW w:w="1985" w:type="dxa"/>
            <w:tcBorders>
              <w:top w:val="single" w:sz="4" w:space="0" w:color="auto"/>
              <w:left w:val="nil"/>
              <w:bottom w:val="nil"/>
              <w:right w:val="nil"/>
            </w:tcBorders>
            <w:shd w:val="clear" w:color="auto" w:fill="FFFFFF"/>
            <w:vAlign w:val="center"/>
          </w:tcPr>
          <w:p w:rsidR="00172522" w:rsidRPr="000C7281" w:rsidRDefault="00172522" w:rsidP="00172522">
            <w:pPr>
              <w:jc w:val="center"/>
              <w:rPr>
                <w:i/>
                <w:iCs/>
                <w:sz w:val="22"/>
                <w:szCs w:val="22"/>
              </w:rPr>
            </w:pPr>
            <w:r w:rsidRPr="000C7281">
              <w:rPr>
                <w:i/>
                <w:iCs/>
                <w:sz w:val="22"/>
                <w:szCs w:val="22"/>
              </w:rPr>
              <w:sym w:font="Symbol" w:char="F072"/>
            </w:r>
          </w:p>
        </w:tc>
        <w:tc>
          <w:tcPr>
            <w:tcW w:w="1701" w:type="dxa"/>
            <w:tcBorders>
              <w:top w:val="single" w:sz="4" w:space="0" w:color="auto"/>
              <w:left w:val="nil"/>
              <w:bottom w:val="nil"/>
              <w:right w:val="nil"/>
            </w:tcBorders>
            <w:shd w:val="clear" w:color="auto" w:fill="FFFFFF"/>
            <w:vAlign w:val="center"/>
          </w:tcPr>
          <w:p w:rsidR="00172522" w:rsidRPr="000C7281" w:rsidRDefault="00172522" w:rsidP="00172522">
            <w:pPr>
              <w:jc w:val="center"/>
              <w:rPr>
                <w:i/>
                <w:iCs/>
                <w:sz w:val="22"/>
                <w:szCs w:val="22"/>
              </w:rPr>
            </w:pPr>
            <w:r w:rsidRPr="000C7281">
              <w:rPr>
                <w:i/>
                <w:iCs/>
                <w:sz w:val="22"/>
                <w:szCs w:val="22"/>
              </w:rPr>
              <w:sym w:font="Symbol" w:char="F064"/>
            </w:r>
          </w:p>
        </w:tc>
        <w:tc>
          <w:tcPr>
            <w:tcW w:w="1275" w:type="dxa"/>
            <w:tcBorders>
              <w:top w:val="single" w:sz="4" w:space="0" w:color="auto"/>
              <w:left w:val="nil"/>
              <w:bottom w:val="nil"/>
              <w:right w:val="nil"/>
            </w:tcBorders>
            <w:shd w:val="clear" w:color="auto" w:fill="FFFFFF"/>
            <w:vAlign w:val="center"/>
          </w:tcPr>
          <w:p w:rsidR="00172522" w:rsidRPr="000C7281" w:rsidRDefault="00172522" w:rsidP="00172522">
            <w:pPr>
              <w:jc w:val="center"/>
              <w:rPr>
                <w:i/>
                <w:iCs/>
                <w:sz w:val="22"/>
                <w:szCs w:val="22"/>
              </w:rPr>
            </w:pPr>
            <w:r w:rsidRPr="000C7281">
              <w:rPr>
                <w:i/>
                <w:iCs/>
                <w:sz w:val="22"/>
                <w:szCs w:val="22"/>
              </w:rPr>
              <w:sym w:font="Symbol" w:char="F072"/>
            </w:r>
          </w:p>
        </w:tc>
      </w:tr>
      <w:tr w:rsidR="000C7281" w:rsidRPr="000C7281" w:rsidTr="000C7281">
        <w:trPr>
          <w:trHeight w:val="144"/>
          <w:jc w:val="center"/>
        </w:trPr>
        <w:tc>
          <w:tcPr>
            <w:tcW w:w="2268" w:type="dxa"/>
            <w:tcBorders>
              <w:top w:val="single" w:sz="4" w:space="0" w:color="auto"/>
              <w:left w:val="nil"/>
              <w:bottom w:val="nil"/>
              <w:right w:val="nil"/>
            </w:tcBorders>
            <w:shd w:val="clear" w:color="auto" w:fill="FFFFFF"/>
            <w:hideMark/>
          </w:tcPr>
          <w:p w:rsidR="00172522" w:rsidRPr="000C7281" w:rsidRDefault="00172522" w:rsidP="00172522">
            <w:pPr>
              <w:jc w:val="both"/>
              <w:rPr>
                <w:sz w:val="22"/>
                <w:szCs w:val="22"/>
              </w:rPr>
            </w:pPr>
            <w:r w:rsidRPr="000C7281">
              <w:rPr>
                <w:sz w:val="22"/>
                <w:szCs w:val="22"/>
              </w:rPr>
              <w:t>(Constant)</w:t>
            </w:r>
          </w:p>
        </w:tc>
        <w:tc>
          <w:tcPr>
            <w:tcW w:w="1559" w:type="dxa"/>
            <w:tcBorders>
              <w:top w:val="single" w:sz="4" w:space="0" w:color="auto"/>
              <w:left w:val="nil"/>
              <w:bottom w:val="nil"/>
              <w:right w:val="nil"/>
            </w:tcBorders>
            <w:shd w:val="clear" w:color="auto" w:fill="FFFFFF"/>
            <w:vAlign w:val="bottom"/>
            <w:hideMark/>
          </w:tcPr>
          <w:p w:rsidR="00172522" w:rsidRPr="000C7281" w:rsidRDefault="00172522" w:rsidP="00172522">
            <w:pPr>
              <w:jc w:val="right"/>
              <w:rPr>
                <w:sz w:val="22"/>
                <w:szCs w:val="22"/>
              </w:rPr>
            </w:pPr>
            <w:r w:rsidRPr="000C7281">
              <w:rPr>
                <w:sz w:val="22"/>
                <w:szCs w:val="22"/>
              </w:rPr>
              <w:t>-1.036</w:t>
            </w:r>
          </w:p>
        </w:tc>
        <w:tc>
          <w:tcPr>
            <w:tcW w:w="1985" w:type="dxa"/>
            <w:tcBorders>
              <w:top w:val="single" w:sz="4" w:space="0" w:color="auto"/>
              <w:left w:val="nil"/>
              <w:bottom w:val="nil"/>
              <w:right w:val="nil"/>
            </w:tcBorders>
            <w:shd w:val="clear" w:color="auto" w:fill="FFFFFF"/>
            <w:vAlign w:val="bottom"/>
            <w:hideMark/>
          </w:tcPr>
          <w:p w:rsidR="00172522" w:rsidRPr="000C7281" w:rsidRDefault="00172522" w:rsidP="00172522">
            <w:pPr>
              <w:jc w:val="right"/>
              <w:rPr>
                <w:sz w:val="22"/>
                <w:szCs w:val="22"/>
              </w:rPr>
            </w:pPr>
            <w:r w:rsidRPr="000C7281">
              <w:rPr>
                <w:sz w:val="22"/>
                <w:szCs w:val="22"/>
              </w:rPr>
              <w:t>0.001</w:t>
            </w:r>
          </w:p>
        </w:tc>
        <w:tc>
          <w:tcPr>
            <w:tcW w:w="1701" w:type="dxa"/>
            <w:tcBorders>
              <w:top w:val="single" w:sz="4" w:space="0" w:color="auto"/>
              <w:left w:val="nil"/>
              <w:bottom w:val="nil"/>
              <w:right w:val="nil"/>
            </w:tcBorders>
            <w:shd w:val="clear" w:color="auto" w:fill="FFFFFF"/>
            <w:vAlign w:val="bottom"/>
          </w:tcPr>
          <w:p w:rsidR="00172522" w:rsidRPr="000C7281" w:rsidRDefault="00172522" w:rsidP="00172522">
            <w:pPr>
              <w:jc w:val="right"/>
              <w:rPr>
                <w:sz w:val="22"/>
                <w:szCs w:val="22"/>
                <w:lang w:val="id-ID"/>
              </w:rPr>
            </w:pPr>
            <w:r w:rsidRPr="000C7281">
              <w:rPr>
                <w:sz w:val="22"/>
                <w:szCs w:val="22"/>
              </w:rPr>
              <w:t>-0.363</w:t>
            </w:r>
          </w:p>
        </w:tc>
        <w:tc>
          <w:tcPr>
            <w:tcW w:w="1275" w:type="dxa"/>
            <w:tcBorders>
              <w:top w:val="single" w:sz="4" w:space="0" w:color="auto"/>
              <w:left w:val="nil"/>
              <w:bottom w:val="nil"/>
              <w:right w:val="nil"/>
            </w:tcBorders>
            <w:shd w:val="clear" w:color="auto" w:fill="FFFFFF"/>
            <w:vAlign w:val="bottom"/>
          </w:tcPr>
          <w:p w:rsidR="00172522" w:rsidRPr="000C7281" w:rsidRDefault="00172522" w:rsidP="00172522">
            <w:pPr>
              <w:jc w:val="right"/>
              <w:rPr>
                <w:sz w:val="22"/>
                <w:szCs w:val="22"/>
              </w:rPr>
            </w:pPr>
            <w:r w:rsidRPr="000C7281">
              <w:rPr>
                <w:sz w:val="22"/>
                <w:szCs w:val="22"/>
              </w:rPr>
              <w:t>0.000</w:t>
            </w:r>
          </w:p>
        </w:tc>
      </w:tr>
      <w:tr w:rsidR="000C7281" w:rsidRPr="000C7281" w:rsidTr="000C7281">
        <w:trPr>
          <w:trHeight w:val="144"/>
          <w:jc w:val="center"/>
        </w:trPr>
        <w:tc>
          <w:tcPr>
            <w:tcW w:w="2268" w:type="dxa"/>
            <w:tcBorders>
              <w:top w:val="nil"/>
              <w:left w:val="nil"/>
              <w:bottom w:val="nil"/>
              <w:right w:val="nil"/>
            </w:tcBorders>
            <w:shd w:val="clear" w:color="auto" w:fill="FFFFFF"/>
            <w:vAlign w:val="bottom"/>
            <w:hideMark/>
          </w:tcPr>
          <w:p w:rsidR="00172522" w:rsidRPr="000C7281" w:rsidRDefault="00172522" w:rsidP="00172522">
            <w:pPr>
              <w:jc w:val="both"/>
              <w:rPr>
                <w:sz w:val="22"/>
                <w:szCs w:val="22"/>
                <w:lang w:val="id-ID"/>
              </w:rPr>
            </w:pPr>
            <w:r w:rsidRPr="000C7281">
              <w:rPr>
                <w:sz w:val="22"/>
                <w:szCs w:val="22"/>
              </w:rPr>
              <w:t>INOV</w:t>
            </w:r>
          </w:p>
        </w:tc>
        <w:tc>
          <w:tcPr>
            <w:tcW w:w="1559" w:type="dxa"/>
            <w:tcBorders>
              <w:top w:val="nil"/>
              <w:left w:val="nil"/>
              <w:bottom w:val="nil"/>
              <w:right w:val="nil"/>
            </w:tcBorders>
            <w:shd w:val="clear" w:color="auto" w:fill="FFFFFF"/>
            <w:vAlign w:val="bottom"/>
            <w:hideMark/>
          </w:tcPr>
          <w:p w:rsidR="00172522" w:rsidRPr="000C7281" w:rsidRDefault="00172522" w:rsidP="00172522">
            <w:pPr>
              <w:jc w:val="right"/>
              <w:rPr>
                <w:sz w:val="22"/>
                <w:szCs w:val="22"/>
              </w:rPr>
            </w:pPr>
          </w:p>
        </w:tc>
        <w:tc>
          <w:tcPr>
            <w:tcW w:w="1985" w:type="dxa"/>
            <w:tcBorders>
              <w:top w:val="nil"/>
              <w:left w:val="nil"/>
              <w:bottom w:val="nil"/>
              <w:right w:val="nil"/>
            </w:tcBorders>
            <w:shd w:val="clear" w:color="auto" w:fill="FFFFFF"/>
            <w:vAlign w:val="bottom"/>
            <w:hideMark/>
          </w:tcPr>
          <w:p w:rsidR="00172522" w:rsidRPr="000C7281" w:rsidRDefault="00172522" w:rsidP="00172522">
            <w:pPr>
              <w:jc w:val="right"/>
              <w:rPr>
                <w:sz w:val="22"/>
                <w:szCs w:val="22"/>
              </w:rPr>
            </w:pPr>
          </w:p>
        </w:tc>
        <w:tc>
          <w:tcPr>
            <w:tcW w:w="1701" w:type="dxa"/>
            <w:tcBorders>
              <w:top w:val="nil"/>
              <w:left w:val="nil"/>
              <w:bottom w:val="nil"/>
              <w:right w:val="nil"/>
            </w:tcBorders>
            <w:shd w:val="clear" w:color="auto" w:fill="FFFFFF"/>
            <w:vAlign w:val="bottom"/>
          </w:tcPr>
          <w:p w:rsidR="00172522" w:rsidRPr="000C7281" w:rsidRDefault="00172522" w:rsidP="00172522">
            <w:pPr>
              <w:jc w:val="right"/>
              <w:rPr>
                <w:sz w:val="22"/>
                <w:szCs w:val="22"/>
              </w:rPr>
            </w:pPr>
            <w:r w:rsidRPr="000C7281">
              <w:rPr>
                <w:sz w:val="22"/>
                <w:szCs w:val="22"/>
              </w:rPr>
              <w:t>0.605</w:t>
            </w:r>
          </w:p>
        </w:tc>
        <w:tc>
          <w:tcPr>
            <w:tcW w:w="1275" w:type="dxa"/>
            <w:tcBorders>
              <w:top w:val="nil"/>
              <w:left w:val="nil"/>
              <w:bottom w:val="nil"/>
              <w:right w:val="nil"/>
            </w:tcBorders>
            <w:shd w:val="clear" w:color="auto" w:fill="FFFFFF"/>
            <w:vAlign w:val="bottom"/>
          </w:tcPr>
          <w:p w:rsidR="00172522" w:rsidRPr="000C7281" w:rsidRDefault="00172522" w:rsidP="00172522">
            <w:pPr>
              <w:jc w:val="right"/>
              <w:rPr>
                <w:sz w:val="22"/>
                <w:szCs w:val="22"/>
              </w:rPr>
            </w:pPr>
            <w:r w:rsidRPr="000C7281">
              <w:rPr>
                <w:sz w:val="22"/>
                <w:szCs w:val="22"/>
                <w:lang w:val="id-ID"/>
              </w:rPr>
              <w:t xml:space="preserve">***) </w:t>
            </w:r>
            <w:r w:rsidRPr="000C7281">
              <w:rPr>
                <w:sz w:val="22"/>
                <w:szCs w:val="22"/>
              </w:rPr>
              <w:t>0.000</w:t>
            </w:r>
          </w:p>
        </w:tc>
      </w:tr>
      <w:tr w:rsidR="000C7281" w:rsidRPr="000C7281" w:rsidTr="000C7281">
        <w:trPr>
          <w:trHeight w:val="144"/>
          <w:jc w:val="center"/>
        </w:trPr>
        <w:tc>
          <w:tcPr>
            <w:tcW w:w="2268" w:type="dxa"/>
            <w:tcBorders>
              <w:top w:val="nil"/>
              <w:left w:val="nil"/>
              <w:bottom w:val="nil"/>
              <w:right w:val="nil"/>
            </w:tcBorders>
            <w:shd w:val="clear" w:color="auto" w:fill="FFFFFF"/>
            <w:vAlign w:val="bottom"/>
          </w:tcPr>
          <w:p w:rsidR="00172522" w:rsidRPr="000C7281" w:rsidRDefault="00172522" w:rsidP="00172522">
            <w:pPr>
              <w:jc w:val="both"/>
              <w:rPr>
                <w:sz w:val="22"/>
                <w:szCs w:val="22"/>
              </w:rPr>
            </w:pPr>
            <w:r w:rsidRPr="000C7281">
              <w:rPr>
                <w:sz w:val="22"/>
                <w:szCs w:val="22"/>
              </w:rPr>
              <w:t>REG</w:t>
            </w:r>
          </w:p>
        </w:tc>
        <w:tc>
          <w:tcPr>
            <w:tcW w:w="1559" w:type="dxa"/>
            <w:tcBorders>
              <w:top w:val="nil"/>
              <w:left w:val="nil"/>
              <w:bottom w:val="nil"/>
              <w:right w:val="nil"/>
            </w:tcBorders>
            <w:shd w:val="clear" w:color="auto" w:fill="FFFFFF"/>
            <w:vAlign w:val="bottom"/>
            <w:hideMark/>
          </w:tcPr>
          <w:p w:rsidR="00172522" w:rsidRPr="000C7281" w:rsidRDefault="00172522" w:rsidP="00172522">
            <w:pPr>
              <w:jc w:val="right"/>
              <w:rPr>
                <w:sz w:val="22"/>
                <w:szCs w:val="22"/>
              </w:rPr>
            </w:pPr>
            <w:r w:rsidRPr="000C7281">
              <w:rPr>
                <w:sz w:val="22"/>
                <w:szCs w:val="22"/>
              </w:rPr>
              <w:t>0.231</w:t>
            </w:r>
          </w:p>
        </w:tc>
        <w:tc>
          <w:tcPr>
            <w:tcW w:w="1985" w:type="dxa"/>
            <w:tcBorders>
              <w:top w:val="nil"/>
              <w:left w:val="nil"/>
              <w:bottom w:val="nil"/>
              <w:right w:val="nil"/>
            </w:tcBorders>
            <w:shd w:val="clear" w:color="auto" w:fill="FFFFFF"/>
            <w:vAlign w:val="bottom"/>
            <w:hideMark/>
          </w:tcPr>
          <w:p w:rsidR="00172522" w:rsidRPr="000C7281" w:rsidRDefault="00172522" w:rsidP="00172522">
            <w:pPr>
              <w:jc w:val="right"/>
              <w:rPr>
                <w:sz w:val="22"/>
                <w:szCs w:val="22"/>
              </w:rPr>
            </w:pPr>
            <w:r w:rsidRPr="000C7281">
              <w:rPr>
                <w:sz w:val="22"/>
                <w:szCs w:val="22"/>
                <w:lang w:val="id-ID"/>
              </w:rPr>
              <w:t xml:space="preserve">**)   </w:t>
            </w:r>
            <w:r w:rsidRPr="000C7281">
              <w:rPr>
                <w:sz w:val="22"/>
                <w:szCs w:val="22"/>
              </w:rPr>
              <w:t>0.047</w:t>
            </w:r>
          </w:p>
        </w:tc>
        <w:tc>
          <w:tcPr>
            <w:tcW w:w="1701" w:type="dxa"/>
            <w:tcBorders>
              <w:top w:val="nil"/>
              <w:left w:val="nil"/>
              <w:bottom w:val="nil"/>
              <w:right w:val="nil"/>
            </w:tcBorders>
            <w:shd w:val="clear" w:color="auto" w:fill="FFFFFF"/>
            <w:vAlign w:val="bottom"/>
          </w:tcPr>
          <w:p w:rsidR="00172522" w:rsidRPr="000C7281" w:rsidRDefault="00172522" w:rsidP="00172522">
            <w:pPr>
              <w:jc w:val="right"/>
              <w:rPr>
                <w:sz w:val="22"/>
                <w:szCs w:val="22"/>
              </w:rPr>
            </w:pPr>
          </w:p>
        </w:tc>
        <w:tc>
          <w:tcPr>
            <w:tcW w:w="1275" w:type="dxa"/>
            <w:tcBorders>
              <w:top w:val="nil"/>
              <w:left w:val="nil"/>
              <w:bottom w:val="nil"/>
              <w:right w:val="nil"/>
            </w:tcBorders>
            <w:shd w:val="clear" w:color="auto" w:fill="FFFFFF"/>
            <w:vAlign w:val="bottom"/>
          </w:tcPr>
          <w:p w:rsidR="00172522" w:rsidRPr="000C7281" w:rsidRDefault="00172522" w:rsidP="00172522">
            <w:pPr>
              <w:jc w:val="right"/>
              <w:rPr>
                <w:sz w:val="22"/>
                <w:szCs w:val="22"/>
              </w:rPr>
            </w:pPr>
          </w:p>
        </w:tc>
      </w:tr>
      <w:tr w:rsidR="000C7281" w:rsidRPr="000C7281" w:rsidTr="000C7281">
        <w:trPr>
          <w:trHeight w:val="144"/>
          <w:jc w:val="center"/>
        </w:trPr>
        <w:tc>
          <w:tcPr>
            <w:tcW w:w="2268" w:type="dxa"/>
            <w:tcBorders>
              <w:top w:val="nil"/>
              <w:left w:val="nil"/>
              <w:bottom w:val="nil"/>
              <w:right w:val="nil"/>
            </w:tcBorders>
            <w:shd w:val="clear" w:color="auto" w:fill="FFFFFF"/>
            <w:vAlign w:val="bottom"/>
          </w:tcPr>
          <w:p w:rsidR="00172522" w:rsidRPr="000C7281" w:rsidRDefault="00172522" w:rsidP="00172522">
            <w:pPr>
              <w:jc w:val="both"/>
              <w:rPr>
                <w:sz w:val="22"/>
                <w:szCs w:val="22"/>
              </w:rPr>
            </w:pPr>
            <w:r w:rsidRPr="000C7281">
              <w:rPr>
                <w:sz w:val="22"/>
                <w:szCs w:val="22"/>
              </w:rPr>
              <w:t>INF</w:t>
            </w:r>
          </w:p>
        </w:tc>
        <w:tc>
          <w:tcPr>
            <w:tcW w:w="1559" w:type="dxa"/>
            <w:tcBorders>
              <w:top w:val="nil"/>
              <w:left w:val="nil"/>
              <w:bottom w:val="nil"/>
              <w:right w:val="nil"/>
            </w:tcBorders>
            <w:shd w:val="clear" w:color="auto" w:fill="FFFFFF"/>
            <w:vAlign w:val="bottom"/>
            <w:hideMark/>
          </w:tcPr>
          <w:p w:rsidR="00172522" w:rsidRPr="000C7281" w:rsidRDefault="00172522" w:rsidP="00172522">
            <w:pPr>
              <w:jc w:val="right"/>
              <w:rPr>
                <w:sz w:val="22"/>
                <w:szCs w:val="22"/>
              </w:rPr>
            </w:pPr>
            <w:r w:rsidRPr="000C7281">
              <w:rPr>
                <w:sz w:val="22"/>
                <w:szCs w:val="22"/>
              </w:rPr>
              <w:t>0.333</w:t>
            </w:r>
          </w:p>
        </w:tc>
        <w:tc>
          <w:tcPr>
            <w:tcW w:w="1985" w:type="dxa"/>
            <w:tcBorders>
              <w:top w:val="nil"/>
              <w:left w:val="nil"/>
              <w:bottom w:val="nil"/>
              <w:right w:val="nil"/>
            </w:tcBorders>
            <w:shd w:val="clear" w:color="auto" w:fill="FFFFFF"/>
            <w:vAlign w:val="bottom"/>
            <w:hideMark/>
          </w:tcPr>
          <w:p w:rsidR="00172522" w:rsidRPr="000C7281" w:rsidRDefault="00172522" w:rsidP="00172522">
            <w:pPr>
              <w:jc w:val="right"/>
              <w:rPr>
                <w:sz w:val="22"/>
                <w:szCs w:val="22"/>
              </w:rPr>
            </w:pPr>
            <w:r w:rsidRPr="000C7281">
              <w:rPr>
                <w:sz w:val="22"/>
                <w:szCs w:val="22"/>
                <w:lang w:val="id-ID"/>
              </w:rPr>
              <w:t xml:space="preserve">***)   </w:t>
            </w:r>
            <w:r w:rsidRPr="000C7281">
              <w:rPr>
                <w:sz w:val="22"/>
                <w:szCs w:val="22"/>
              </w:rPr>
              <w:t>0.000</w:t>
            </w:r>
          </w:p>
        </w:tc>
        <w:tc>
          <w:tcPr>
            <w:tcW w:w="1701" w:type="dxa"/>
            <w:tcBorders>
              <w:top w:val="nil"/>
              <w:left w:val="nil"/>
              <w:bottom w:val="nil"/>
              <w:right w:val="nil"/>
            </w:tcBorders>
            <w:shd w:val="clear" w:color="auto" w:fill="FFFFFF"/>
            <w:vAlign w:val="bottom"/>
          </w:tcPr>
          <w:p w:rsidR="00172522" w:rsidRPr="000C7281" w:rsidRDefault="00172522" w:rsidP="00172522">
            <w:pPr>
              <w:jc w:val="right"/>
              <w:rPr>
                <w:sz w:val="22"/>
                <w:szCs w:val="22"/>
              </w:rPr>
            </w:pPr>
          </w:p>
        </w:tc>
        <w:tc>
          <w:tcPr>
            <w:tcW w:w="1275" w:type="dxa"/>
            <w:tcBorders>
              <w:top w:val="nil"/>
              <w:left w:val="nil"/>
              <w:bottom w:val="nil"/>
              <w:right w:val="nil"/>
            </w:tcBorders>
            <w:shd w:val="clear" w:color="auto" w:fill="FFFFFF"/>
            <w:vAlign w:val="bottom"/>
          </w:tcPr>
          <w:p w:rsidR="00172522" w:rsidRPr="000C7281" w:rsidRDefault="00172522" w:rsidP="00172522">
            <w:pPr>
              <w:jc w:val="right"/>
              <w:rPr>
                <w:sz w:val="22"/>
                <w:szCs w:val="22"/>
              </w:rPr>
            </w:pPr>
          </w:p>
        </w:tc>
      </w:tr>
      <w:tr w:rsidR="000C7281" w:rsidRPr="000C7281" w:rsidTr="000C7281">
        <w:trPr>
          <w:trHeight w:val="144"/>
          <w:jc w:val="center"/>
        </w:trPr>
        <w:tc>
          <w:tcPr>
            <w:tcW w:w="2268" w:type="dxa"/>
            <w:tcBorders>
              <w:top w:val="nil"/>
              <w:left w:val="nil"/>
              <w:bottom w:val="nil"/>
              <w:right w:val="nil"/>
            </w:tcBorders>
            <w:shd w:val="clear" w:color="auto" w:fill="FFFFFF"/>
            <w:vAlign w:val="bottom"/>
          </w:tcPr>
          <w:p w:rsidR="00172522" w:rsidRPr="000C7281" w:rsidRDefault="00172522" w:rsidP="00172522">
            <w:pPr>
              <w:jc w:val="both"/>
              <w:rPr>
                <w:sz w:val="22"/>
                <w:szCs w:val="22"/>
              </w:rPr>
            </w:pPr>
            <w:r w:rsidRPr="000C7281">
              <w:rPr>
                <w:sz w:val="22"/>
                <w:szCs w:val="22"/>
              </w:rPr>
              <w:t>MAN</w:t>
            </w:r>
          </w:p>
        </w:tc>
        <w:tc>
          <w:tcPr>
            <w:tcW w:w="1559" w:type="dxa"/>
            <w:tcBorders>
              <w:top w:val="nil"/>
              <w:left w:val="nil"/>
              <w:bottom w:val="nil"/>
              <w:right w:val="nil"/>
            </w:tcBorders>
            <w:shd w:val="clear" w:color="auto" w:fill="FFFFFF"/>
            <w:vAlign w:val="bottom"/>
            <w:hideMark/>
          </w:tcPr>
          <w:p w:rsidR="00172522" w:rsidRPr="000C7281" w:rsidRDefault="00172522" w:rsidP="00172522">
            <w:pPr>
              <w:jc w:val="right"/>
              <w:rPr>
                <w:sz w:val="22"/>
                <w:szCs w:val="22"/>
              </w:rPr>
            </w:pPr>
            <w:r w:rsidRPr="000C7281">
              <w:rPr>
                <w:sz w:val="22"/>
                <w:szCs w:val="22"/>
              </w:rPr>
              <w:t>0.109</w:t>
            </w:r>
          </w:p>
        </w:tc>
        <w:tc>
          <w:tcPr>
            <w:tcW w:w="1985" w:type="dxa"/>
            <w:tcBorders>
              <w:top w:val="nil"/>
              <w:left w:val="nil"/>
              <w:bottom w:val="nil"/>
              <w:right w:val="nil"/>
            </w:tcBorders>
            <w:shd w:val="clear" w:color="auto" w:fill="FFFFFF"/>
            <w:vAlign w:val="bottom"/>
            <w:hideMark/>
          </w:tcPr>
          <w:p w:rsidR="00172522" w:rsidRPr="000C7281" w:rsidRDefault="00172522" w:rsidP="00172522">
            <w:pPr>
              <w:jc w:val="right"/>
              <w:rPr>
                <w:sz w:val="22"/>
                <w:szCs w:val="22"/>
              </w:rPr>
            </w:pPr>
            <w:r w:rsidRPr="000C7281">
              <w:rPr>
                <w:sz w:val="22"/>
                <w:szCs w:val="22"/>
                <w:lang w:val="id-ID"/>
              </w:rPr>
              <w:t xml:space="preserve">**)   </w:t>
            </w:r>
            <w:r w:rsidRPr="000C7281">
              <w:rPr>
                <w:sz w:val="22"/>
                <w:szCs w:val="22"/>
              </w:rPr>
              <w:t>0.048</w:t>
            </w:r>
          </w:p>
        </w:tc>
        <w:tc>
          <w:tcPr>
            <w:tcW w:w="1701" w:type="dxa"/>
            <w:tcBorders>
              <w:top w:val="nil"/>
              <w:left w:val="nil"/>
              <w:bottom w:val="nil"/>
              <w:right w:val="nil"/>
            </w:tcBorders>
            <w:shd w:val="clear" w:color="auto" w:fill="FFFFFF"/>
            <w:vAlign w:val="bottom"/>
          </w:tcPr>
          <w:p w:rsidR="00172522" w:rsidRPr="000C7281" w:rsidRDefault="00172522" w:rsidP="00172522">
            <w:pPr>
              <w:jc w:val="right"/>
              <w:rPr>
                <w:sz w:val="22"/>
                <w:szCs w:val="22"/>
              </w:rPr>
            </w:pPr>
          </w:p>
        </w:tc>
        <w:tc>
          <w:tcPr>
            <w:tcW w:w="1275" w:type="dxa"/>
            <w:tcBorders>
              <w:top w:val="nil"/>
              <w:left w:val="nil"/>
              <w:bottom w:val="nil"/>
              <w:right w:val="nil"/>
            </w:tcBorders>
            <w:shd w:val="clear" w:color="auto" w:fill="FFFFFF"/>
            <w:vAlign w:val="bottom"/>
          </w:tcPr>
          <w:p w:rsidR="00172522" w:rsidRPr="000C7281" w:rsidRDefault="00172522" w:rsidP="00172522">
            <w:pPr>
              <w:jc w:val="right"/>
              <w:rPr>
                <w:sz w:val="22"/>
                <w:szCs w:val="22"/>
              </w:rPr>
            </w:pPr>
          </w:p>
        </w:tc>
      </w:tr>
      <w:tr w:rsidR="000C7281" w:rsidRPr="000C7281" w:rsidTr="000C7281">
        <w:trPr>
          <w:trHeight w:val="144"/>
          <w:jc w:val="center"/>
        </w:trPr>
        <w:tc>
          <w:tcPr>
            <w:tcW w:w="2268" w:type="dxa"/>
            <w:tcBorders>
              <w:top w:val="nil"/>
              <w:left w:val="nil"/>
              <w:bottom w:val="nil"/>
              <w:right w:val="nil"/>
            </w:tcBorders>
            <w:shd w:val="clear" w:color="auto" w:fill="FFFFFF"/>
            <w:vAlign w:val="bottom"/>
          </w:tcPr>
          <w:p w:rsidR="00172522" w:rsidRPr="000C7281" w:rsidRDefault="00172522" w:rsidP="00172522">
            <w:pPr>
              <w:jc w:val="both"/>
              <w:rPr>
                <w:sz w:val="22"/>
                <w:szCs w:val="22"/>
              </w:rPr>
            </w:pPr>
            <w:r w:rsidRPr="000C7281">
              <w:rPr>
                <w:sz w:val="22"/>
                <w:szCs w:val="22"/>
              </w:rPr>
              <w:t>CUL</w:t>
            </w:r>
          </w:p>
        </w:tc>
        <w:tc>
          <w:tcPr>
            <w:tcW w:w="1559" w:type="dxa"/>
            <w:tcBorders>
              <w:top w:val="nil"/>
              <w:left w:val="nil"/>
              <w:bottom w:val="nil"/>
              <w:right w:val="nil"/>
            </w:tcBorders>
            <w:shd w:val="clear" w:color="auto" w:fill="FFFFFF"/>
            <w:vAlign w:val="bottom"/>
            <w:hideMark/>
          </w:tcPr>
          <w:p w:rsidR="00172522" w:rsidRPr="000C7281" w:rsidRDefault="00172522" w:rsidP="00172522">
            <w:pPr>
              <w:jc w:val="right"/>
              <w:rPr>
                <w:sz w:val="22"/>
                <w:szCs w:val="22"/>
              </w:rPr>
            </w:pPr>
            <w:r w:rsidRPr="000C7281">
              <w:rPr>
                <w:sz w:val="22"/>
                <w:szCs w:val="22"/>
              </w:rPr>
              <w:t>0.268</w:t>
            </w:r>
          </w:p>
        </w:tc>
        <w:tc>
          <w:tcPr>
            <w:tcW w:w="1985" w:type="dxa"/>
            <w:tcBorders>
              <w:top w:val="nil"/>
              <w:left w:val="nil"/>
              <w:bottom w:val="nil"/>
              <w:right w:val="nil"/>
            </w:tcBorders>
            <w:shd w:val="clear" w:color="auto" w:fill="FFFFFF"/>
            <w:vAlign w:val="bottom"/>
            <w:hideMark/>
          </w:tcPr>
          <w:p w:rsidR="00172522" w:rsidRPr="000C7281" w:rsidRDefault="00172522" w:rsidP="00172522">
            <w:pPr>
              <w:jc w:val="right"/>
              <w:rPr>
                <w:sz w:val="22"/>
                <w:szCs w:val="22"/>
              </w:rPr>
            </w:pPr>
            <w:r w:rsidRPr="000C7281">
              <w:rPr>
                <w:sz w:val="22"/>
                <w:szCs w:val="22"/>
                <w:lang w:val="id-ID"/>
              </w:rPr>
              <w:t xml:space="preserve">***)   </w:t>
            </w:r>
            <w:r w:rsidRPr="000C7281">
              <w:rPr>
                <w:sz w:val="22"/>
                <w:szCs w:val="22"/>
              </w:rPr>
              <w:t>0.003</w:t>
            </w:r>
          </w:p>
        </w:tc>
        <w:tc>
          <w:tcPr>
            <w:tcW w:w="1701" w:type="dxa"/>
            <w:tcBorders>
              <w:top w:val="nil"/>
              <w:left w:val="nil"/>
              <w:bottom w:val="nil"/>
              <w:right w:val="nil"/>
            </w:tcBorders>
            <w:shd w:val="clear" w:color="auto" w:fill="FFFFFF"/>
            <w:vAlign w:val="bottom"/>
          </w:tcPr>
          <w:p w:rsidR="00172522" w:rsidRPr="000C7281" w:rsidRDefault="00172522" w:rsidP="00172522">
            <w:pPr>
              <w:jc w:val="right"/>
              <w:rPr>
                <w:sz w:val="22"/>
                <w:szCs w:val="22"/>
              </w:rPr>
            </w:pPr>
          </w:p>
        </w:tc>
        <w:tc>
          <w:tcPr>
            <w:tcW w:w="1275" w:type="dxa"/>
            <w:tcBorders>
              <w:top w:val="nil"/>
              <w:left w:val="nil"/>
              <w:bottom w:val="nil"/>
              <w:right w:val="nil"/>
            </w:tcBorders>
            <w:shd w:val="clear" w:color="auto" w:fill="FFFFFF"/>
            <w:vAlign w:val="bottom"/>
          </w:tcPr>
          <w:p w:rsidR="00172522" w:rsidRPr="000C7281" w:rsidRDefault="00172522" w:rsidP="00172522">
            <w:pPr>
              <w:jc w:val="right"/>
              <w:rPr>
                <w:sz w:val="22"/>
                <w:szCs w:val="22"/>
              </w:rPr>
            </w:pPr>
          </w:p>
        </w:tc>
      </w:tr>
      <w:tr w:rsidR="000C7281" w:rsidRPr="000C7281" w:rsidTr="000C7281">
        <w:trPr>
          <w:trHeight w:val="144"/>
          <w:jc w:val="center"/>
        </w:trPr>
        <w:tc>
          <w:tcPr>
            <w:tcW w:w="2268" w:type="dxa"/>
            <w:tcBorders>
              <w:top w:val="nil"/>
              <w:left w:val="nil"/>
              <w:bottom w:val="nil"/>
              <w:right w:val="nil"/>
            </w:tcBorders>
            <w:shd w:val="clear" w:color="auto" w:fill="FFFFFF"/>
            <w:vAlign w:val="bottom"/>
          </w:tcPr>
          <w:p w:rsidR="00172522" w:rsidRPr="000C7281" w:rsidRDefault="00172522" w:rsidP="00172522">
            <w:pPr>
              <w:jc w:val="both"/>
              <w:rPr>
                <w:sz w:val="22"/>
                <w:szCs w:val="22"/>
              </w:rPr>
            </w:pPr>
            <w:r w:rsidRPr="000C7281">
              <w:rPr>
                <w:sz w:val="22"/>
                <w:szCs w:val="22"/>
              </w:rPr>
              <w:t>KNOW</w:t>
            </w:r>
          </w:p>
        </w:tc>
        <w:tc>
          <w:tcPr>
            <w:tcW w:w="1559" w:type="dxa"/>
            <w:tcBorders>
              <w:top w:val="nil"/>
              <w:left w:val="nil"/>
              <w:bottom w:val="nil"/>
              <w:right w:val="nil"/>
            </w:tcBorders>
            <w:shd w:val="clear" w:color="auto" w:fill="FFFFFF"/>
            <w:vAlign w:val="bottom"/>
            <w:hideMark/>
          </w:tcPr>
          <w:p w:rsidR="00172522" w:rsidRPr="000C7281" w:rsidRDefault="00172522" w:rsidP="00172522">
            <w:pPr>
              <w:jc w:val="right"/>
              <w:rPr>
                <w:sz w:val="22"/>
                <w:szCs w:val="22"/>
              </w:rPr>
            </w:pPr>
            <w:r w:rsidRPr="000C7281">
              <w:rPr>
                <w:sz w:val="22"/>
                <w:szCs w:val="22"/>
              </w:rPr>
              <w:t>0.258</w:t>
            </w:r>
          </w:p>
        </w:tc>
        <w:tc>
          <w:tcPr>
            <w:tcW w:w="1985" w:type="dxa"/>
            <w:tcBorders>
              <w:top w:val="nil"/>
              <w:left w:val="nil"/>
              <w:bottom w:val="nil"/>
              <w:right w:val="nil"/>
            </w:tcBorders>
            <w:shd w:val="clear" w:color="auto" w:fill="FFFFFF"/>
            <w:vAlign w:val="bottom"/>
            <w:hideMark/>
          </w:tcPr>
          <w:p w:rsidR="00172522" w:rsidRPr="000C7281" w:rsidRDefault="00172522" w:rsidP="00172522">
            <w:pPr>
              <w:jc w:val="right"/>
              <w:rPr>
                <w:sz w:val="22"/>
                <w:szCs w:val="22"/>
              </w:rPr>
            </w:pPr>
            <w:r w:rsidRPr="000C7281">
              <w:rPr>
                <w:sz w:val="22"/>
                <w:szCs w:val="22"/>
                <w:lang w:val="id-ID"/>
              </w:rPr>
              <w:t xml:space="preserve">**)  </w:t>
            </w:r>
            <w:r w:rsidRPr="000C7281">
              <w:rPr>
                <w:sz w:val="22"/>
                <w:szCs w:val="22"/>
              </w:rPr>
              <w:t>0.014</w:t>
            </w:r>
          </w:p>
        </w:tc>
        <w:tc>
          <w:tcPr>
            <w:tcW w:w="1701" w:type="dxa"/>
            <w:tcBorders>
              <w:top w:val="nil"/>
              <w:left w:val="nil"/>
              <w:bottom w:val="nil"/>
              <w:right w:val="nil"/>
            </w:tcBorders>
            <w:shd w:val="clear" w:color="auto" w:fill="FFFFFF"/>
            <w:vAlign w:val="bottom"/>
          </w:tcPr>
          <w:p w:rsidR="00172522" w:rsidRPr="000C7281" w:rsidRDefault="00172522" w:rsidP="00172522">
            <w:pPr>
              <w:jc w:val="right"/>
              <w:rPr>
                <w:sz w:val="22"/>
                <w:szCs w:val="22"/>
              </w:rPr>
            </w:pPr>
          </w:p>
        </w:tc>
        <w:tc>
          <w:tcPr>
            <w:tcW w:w="1275" w:type="dxa"/>
            <w:tcBorders>
              <w:top w:val="nil"/>
              <w:left w:val="nil"/>
              <w:bottom w:val="nil"/>
              <w:right w:val="nil"/>
            </w:tcBorders>
            <w:shd w:val="clear" w:color="auto" w:fill="FFFFFF"/>
            <w:vAlign w:val="bottom"/>
          </w:tcPr>
          <w:p w:rsidR="00172522" w:rsidRPr="000C7281" w:rsidRDefault="00172522" w:rsidP="00172522">
            <w:pPr>
              <w:jc w:val="right"/>
              <w:rPr>
                <w:sz w:val="22"/>
                <w:szCs w:val="22"/>
              </w:rPr>
            </w:pPr>
          </w:p>
        </w:tc>
      </w:tr>
      <w:tr w:rsidR="000C7281" w:rsidRPr="000C7281" w:rsidTr="000C7281">
        <w:trPr>
          <w:trHeight w:val="144"/>
          <w:jc w:val="center"/>
        </w:trPr>
        <w:tc>
          <w:tcPr>
            <w:tcW w:w="2268" w:type="dxa"/>
            <w:tcBorders>
              <w:top w:val="single" w:sz="8" w:space="0" w:color="auto"/>
              <w:left w:val="nil"/>
              <w:bottom w:val="nil"/>
              <w:right w:val="nil"/>
            </w:tcBorders>
            <w:shd w:val="clear" w:color="auto" w:fill="auto"/>
            <w:hideMark/>
          </w:tcPr>
          <w:p w:rsidR="00172522" w:rsidRPr="000C7281" w:rsidRDefault="00172522" w:rsidP="00172522">
            <w:pPr>
              <w:jc w:val="both"/>
              <w:rPr>
                <w:sz w:val="22"/>
                <w:szCs w:val="22"/>
              </w:rPr>
            </w:pPr>
          </w:p>
        </w:tc>
        <w:tc>
          <w:tcPr>
            <w:tcW w:w="1559" w:type="dxa"/>
            <w:tcBorders>
              <w:top w:val="single" w:sz="8" w:space="0" w:color="auto"/>
              <w:left w:val="nil"/>
              <w:bottom w:val="nil"/>
              <w:right w:val="nil"/>
            </w:tcBorders>
            <w:shd w:val="clear" w:color="auto" w:fill="auto"/>
            <w:hideMark/>
          </w:tcPr>
          <w:p w:rsidR="00172522" w:rsidRPr="000C7281" w:rsidRDefault="00172522" w:rsidP="00172522">
            <w:pPr>
              <w:jc w:val="right"/>
              <w:rPr>
                <w:sz w:val="22"/>
                <w:szCs w:val="22"/>
              </w:rPr>
            </w:pPr>
          </w:p>
        </w:tc>
        <w:tc>
          <w:tcPr>
            <w:tcW w:w="1985" w:type="dxa"/>
            <w:tcBorders>
              <w:top w:val="single" w:sz="8" w:space="0" w:color="auto"/>
              <w:left w:val="nil"/>
              <w:bottom w:val="nil"/>
              <w:right w:val="nil"/>
            </w:tcBorders>
            <w:shd w:val="clear" w:color="auto" w:fill="auto"/>
            <w:hideMark/>
          </w:tcPr>
          <w:p w:rsidR="00172522" w:rsidRPr="000C7281" w:rsidRDefault="00172522" w:rsidP="00172522">
            <w:pPr>
              <w:jc w:val="right"/>
              <w:rPr>
                <w:sz w:val="22"/>
                <w:szCs w:val="22"/>
              </w:rPr>
            </w:pPr>
          </w:p>
        </w:tc>
        <w:tc>
          <w:tcPr>
            <w:tcW w:w="1701" w:type="dxa"/>
            <w:tcBorders>
              <w:top w:val="single" w:sz="8" w:space="0" w:color="auto"/>
              <w:left w:val="nil"/>
              <w:bottom w:val="nil"/>
              <w:right w:val="nil"/>
            </w:tcBorders>
            <w:vAlign w:val="bottom"/>
          </w:tcPr>
          <w:p w:rsidR="00172522" w:rsidRPr="000C7281" w:rsidRDefault="00172522" w:rsidP="00172522">
            <w:pPr>
              <w:jc w:val="right"/>
              <w:rPr>
                <w:sz w:val="22"/>
                <w:szCs w:val="22"/>
              </w:rPr>
            </w:pPr>
          </w:p>
        </w:tc>
        <w:tc>
          <w:tcPr>
            <w:tcW w:w="1275" w:type="dxa"/>
            <w:tcBorders>
              <w:top w:val="single" w:sz="8" w:space="0" w:color="auto"/>
              <w:left w:val="nil"/>
              <w:bottom w:val="nil"/>
              <w:right w:val="nil"/>
            </w:tcBorders>
            <w:vAlign w:val="bottom"/>
          </w:tcPr>
          <w:p w:rsidR="00172522" w:rsidRPr="000C7281" w:rsidRDefault="00172522" w:rsidP="00172522">
            <w:pPr>
              <w:jc w:val="right"/>
              <w:rPr>
                <w:sz w:val="22"/>
                <w:szCs w:val="22"/>
              </w:rPr>
            </w:pPr>
          </w:p>
        </w:tc>
      </w:tr>
      <w:tr w:rsidR="000C7281" w:rsidRPr="000C7281" w:rsidTr="000C7281">
        <w:trPr>
          <w:trHeight w:val="144"/>
          <w:jc w:val="center"/>
        </w:trPr>
        <w:tc>
          <w:tcPr>
            <w:tcW w:w="2268" w:type="dxa"/>
            <w:tcBorders>
              <w:top w:val="nil"/>
              <w:left w:val="nil"/>
              <w:bottom w:val="nil"/>
              <w:right w:val="nil"/>
            </w:tcBorders>
            <w:shd w:val="clear" w:color="auto" w:fill="auto"/>
            <w:hideMark/>
          </w:tcPr>
          <w:p w:rsidR="00172522" w:rsidRPr="000C7281" w:rsidRDefault="00172522" w:rsidP="00172522">
            <w:pPr>
              <w:jc w:val="both"/>
              <w:rPr>
                <w:sz w:val="22"/>
                <w:szCs w:val="22"/>
              </w:rPr>
            </w:pPr>
            <w:r w:rsidRPr="000C7281">
              <w:rPr>
                <w:sz w:val="22"/>
                <w:szCs w:val="22"/>
              </w:rPr>
              <w:t>R-squared</w:t>
            </w:r>
          </w:p>
        </w:tc>
        <w:tc>
          <w:tcPr>
            <w:tcW w:w="1559" w:type="dxa"/>
            <w:tcBorders>
              <w:top w:val="nil"/>
              <w:left w:val="nil"/>
              <w:bottom w:val="nil"/>
              <w:right w:val="nil"/>
            </w:tcBorders>
            <w:shd w:val="clear" w:color="auto" w:fill="auto"/>
            <w:hideMark/>
          </w:tcPr>
          <w:p w:rsidR="00172522" w:rsidRPr="000C7281" w:rsidRDefault="00172522" w:rsidP="00172522">
            <w:pPr>
              <w:ind w:right="34"/>
              <w:jc w:val="right"/>
              <w:rPr>
                <w:sz w:val="22"/>
                <w:szCs w:val="22"/>
                <w:lang w:val="id-ID"/>
              </w:rPr>
            </w:pPr>
            <w:r w:rsidRPr="000C7281">
              <w:rPr>
                <w:sz w:val="22"/>
                <w:szCs w:val="22"/>
              </w:rPr>
              <w:t>0.</w:t>
            </w:r>
            <w:r w:rsidRPr="000C7281">
              <w:rPr>
                <w:sz w:val="22"/>
                <w:szCs w:val="22"/>
                <w:lang w:val="id-ID"/>
              </w:rPr>
              <w:t>368</w:t>
            </w:r>
          </w:p>
        </w:tc>
        <w:tc>
          <w:tcPr>
            <w:tcW w:w="1985" w:type="dxa"/>
            <w:tcBorders>
              <w:top w:val="nil"/>
              <w:left w:val="nil"/>
              <w:bottom w:val="nil"/>
              <w:right w:val="nil"/>
            </w:tcBorders>
            <w:shd w:val="clear" w:color="auto" w:fill="auto"/>
            <w:hideMark/>
          </w:tcPr>
          <w:p w:rsidR="00172522" w:rsidRPr="000C7281" w:rsidRDefault="00172522" w:rsidP="00172522">
            <w:pPr>
              <w:jc w:val="right"/>
              <w:rPr>
                <w:sz w:val="22"/>
                <w:szCs w:val="22"/>
              </w:rPr>
            </w:pPr>
          </w:p>
        </w:tc>
        <w:tc>
          <w:tcPr>
            <w:tcW w:w="1701" w:type="dxa"/>
            <w:tcBorders>
              <w:top w:val="nil"/>
              <w:left w:val="nil"/>
              <w:bottom w:val="nil"/>
              <w:right w:val="nil"/>
            </w:tcBorders>
          </w:tcPr>
          <w:p w:rsidR="00172522" w:rsidRPr="000C7281" w:rsidRDefault="00172522" w:rsidP="00172522">
            <w:pPr>
              <w:ind w:right="33"/>
              <w:jc w:val="right"/>
              <w:rPr>
                <w:sz w:val="22"/>
                <w:szCs w:val="22"/>
                <w:lang w:val="id-ID"/>
              </w:rPr>
            </w:pPr>
            <w:r w:rsidRPr="000C7281">
              <w:rPr>
                <w:sz w:val="22"/>
                <w:szCs w:val="22"/>
              </w:rPr>
              <w:t>0.</w:t>
            </w:r>
            <w:r w:rsidRPr="000C7281">
              <w:rPr>
                <w:sz w:val="22"/>
                <w:szCs w:val="22"/>
                <w:lang w:val="id-ID"/>
              </w:rPr>
              <w:t>795</w:t>
            </w:r>
          </w:p>
        </w:tc>
        <w:tc>
          <w:tcPr>
            <w:tcW w:w="1275" w:type="dxa"/>
            <w:tcBorders>
              <w:top w:val="nil"/>
              <w:left w:val="nil"/>
              <w:bottom w:val="nil"/>
              <w:right w:val="nil"/>
            </w:tcBorders>
          </w:tcPr>
          <w:p w:rsidR="00172522" w:rsidRPr="000C7281" w:rsidRDefault="00172522" w:rsidP="00172522">
            <w:pPr>
              <w:jc w:val="right"/>
              <w:rPr>
                <w:sz w:val="22"/>
                <w:szCs w:val="22"/>
              </w:rPr>
            </w:pPr>
          </w:p>
        </w:tc>
      </w:tr>
      <w:tr w:rsidR="000C7281" w:rsidRPr="000C7281" w:rsidTr="000C7281">
        <w:trPr>
          <w:trHeight w:val="144"/>
          <w:jc w:val="center"/>
        </w:trPr>
        <w:tc>
          <w:tcPr>
            <w:tcW w:w="2268" w:type="dxa"/>
            <w:tcBorders>
              <w:top w:val="nil"/>
              <w:left w:val="nil"/>
              <w:bottom w:val="nil"/>
              <w:right w:val="nil"/>
            </w:tcBorders>
            <w:shd w:val="clear" w:color="auto" w:fill="auto"/>
            <w:hideMark/>
          </w:tcPr>
          <w:p w:rsidR="00172522" w:rsidRPr="000C7281" w:rsidRDefault="00172522" w:rsidP="00172522">
            <w:pPr>
              <w:jc w:val="both"/>
              <w:rPr>
                <w:sz w:val="22"/>
                <w:szCs w:val="22"/>
              </w:rPr>
            </w:pPr>
            <w:r w:rsidRPr="000C7281">
              <w:rPr>
                <w:sz w:val="22"/>
                <w:szCs w:val="22"/>
              </w:rPr>
              <w:t>F-statistic</w:t>
            </w:r>
          </w:p>
        </w:tc>
        <w:tc>
          <w:tcPr>
            <w:tcW w:w="1559" w:type="dxa"/>
            <w:tcBorders>
              <w:top w:val="nil"/>
              <w:left w:val="nil"/>
              <w:bottom w:val="nil"/>
              <w:right w:val="nil"/>
            </w:tcBorders>
            <w:shd w:val="clear" w:color="auto" w:fill="auto"/>
            <w:noWrap/>
            <w:hideMark/>
          </w:tcPr>
          <w:p w:rsidR="00172522" w:rsidRPr="000C7281" w:rsidRDefault="00172522" w:rsidP="00172522">
            <w:pPr>
              <w:ind w:right="34"/>
              <w:jc w:val="right"/>
              <w:rPr>
                <w:sz w:val="22"/>
                <w:szCs w:val="22"/>
                <w:lang w:val="id-ID"/>
              </w:rPr>
            </w:pPr>
            <w:r w:rsidRPr="000C7281">
              <w:rPr>
                <w:sz w:val="22"/>
                <w:szCs w:val="22"/>
                <w:lang w:val="id-ID"/>
              </w:rPr>
              <w:t>13</w:t>
            </w:r>
            <w:r w:rsidRPr="000C7281">
              <w:rPr>
                <w:sz w:val="22"/>
                <w:szCs w:val="22"/>
              </w:rPr>
              <w:t>.</w:t>
            </w:r>
            <w:r w:rsidRPr="000C7281">
              <w:rPr>
                <w:sz w:val="22"/>
                <w:szCs w:val="22"/>
                <w:lang w:val="id-ID"/>
              </w:rPr>
              <w:t>796</w:t>
            </w:r>
          </w:p>
        </w:tc>
        <w:tc>
          <w:tcPr>
            <w:tcW w:w="1985" w:type="dxa"/>
            <w:tcBorders>
              <w:top w:val="nil"/>
              <w:left w:val="nil"/>
              <w:bottom w:val="nil"/>
              <w:right w:val="nil"/>
            </w:tcBorders>
            <w:shd w:val="clear" w:color="auto" w:fill="auto"/>
            <w:hideMark/>
          </w:tcPr>
          <w:p w:rsidR="00172522" w:rsidRPr="000C7281" w:rsidRDefault="00172522" w:rsidP="00172522">
            <w:pPr>
              <w:jc w:val="right"/>
              <w:rPr>
                <w:sz w:val="22"/>
                <w:szCs w:val="22"/>
              </w:rPr>
            </w:pPr>
          </w:p>
        </w:tc>
        <w:tc>
          <w:tcPr>
            <w:tcW w:w="1701" w:type="dxa"/>
            <w:tcBorders>
              <w:top w:val="nil"/>
              <w:left w:val="nil"/>
              <w:bottom w:val="nil"/>
              <w:right w:val="nil"/>
            </w:tcBorders>
          </w:tcPr>
          <w:p w:rsidR="00172522" w:rsidRPr="000C7281" w:rsidRDefault="00172522" w:rsidP="00172522">
            <w:pPr>
              <w:ind w:right="33"/>
              <w:jc w:val="right"/>
              <w:rPr>
                <w:sz w:val="22"/>
                <w:szCs w:val="22"/>
                <w:lang w:val="id-ID"/>
              </w:rPr>
            </w:pPr>
            <w:r w:rsidRPr="000C7281">
              <w:rPr>
                <w:sz w:val="22"/>
                <w:szCs w:val="22"/>
                <w:lang w:val="id-ID"/>
              </w:rPr>
              <w:t>427</w:t>
            </w:r>
            <w:r w:rsidRPr="000C7281">
              <w:rPr>
                <w:sz w:val="22"/>
                <w:szCs w:val="22"/>
              </w:rPr>
              <w:t>.</w:t>
            </w:r>
            <w:r w:rsidRPr="000C7281">
              <w:rPr>
                <w:sz w:val="22"/>
                <w:szCs w:val="22"/>
                <w:lang w:val="id-ID"/>
              </w:rPr>
              <w:t>692</w:t>
            </w:r>
          </w:p>
        </w:tc>
        <w:tc>
          <w:tcPr>
            <w:tcW w:w="1275" w:type="dxa"/>
            <w:tcBorders>
              <w:top w:val="nil"/>
              <w:left w:val="nil"/>
              <w:bottom w:val="nil"/>
              <w:right w:val="nil"/>
            </w:tcBorders>
          </w:tcPr>
          <w:p w:rsidR="00172522" w:rsidRPr="000C7281" w:rsidRDefault="00172522" w:rsidP="00172522">
            <w:pPr>
              <w:jc w:val="right"/>
              <w:rPr>
                <w:sz w:val="22"/>
                <w:szCs w:val="22"/>
              </w:rPr>
            </w:pPr>
          </w:p>
        </w:tc>
      </w:tr>
      <w:tr w:rsidR="000C7281" w:rsidRPr="000C7281" w:rsidTr="000C7281">
        <w:trPr>
          <w:trHeight w:val="144"/>
          <w:jc w:val="center"/>
        </w:trPr>
        <w:tc>
          <w:tcPr>
            <w:tcW w:w="2268" w:type="dxa"/>
            <w:tcBorders>
              <w:top w:val="nil"/>
              <w:left w:val="nil"/>
              <w:bottom w:val="single" w:sz="8" w:space="0" w:color="auto"/>
              <w:right w:val="nil"/>
            </w:tcBorders>
            <w:shd w:val="clear" w:color="auto" w:fill="auto"/>
            <w:hideMark/>
          </w:tcPr>
          <w:p w:rsidR="00172522" w:rsidRPr="000C7281" w:rsidRDefault="00172522" w:rsidP="00172522">
            <w:pPr>
              <w:jc w:val="both"/>
              <w:rPr>
                <w:sz w:val="22"/>
                <w:szCs w:val="22"/>
              </w:rPr>
            </w:pPr>
            <w:r w:rsidRPr="000C7281">
              <w:rPr>
                <w:sz w:val="22"/>
                <w:szCs w:val="22"/>
              </w:rPr>
              <w:t>Prob(F-statistic)</w:t>
            </w:r>
          </w:p>
        </w:tc>
        <w:tc>
          <w:tcPr>
            <w:tcW w:w="1559" w:type="dxa"/>
            <w:tcBorders>
              <w:top w:val="nil"/>
              <w:left w:val="nil"/>
              <w:bottom w:val="single" w:sz="8" w:space="0" w:color="auto"/>
              <w:right w:val="nil"/>
            </w:tcBorders>
            <w:shd w:val="clear" w:color="auto" w:fill="auto"/>
            <w:hideMark/>
          </w:tcPr>
          <w:p w:rsidR="00172522" w:rsidRPr="000C7281" w:rsidRDefault="00172522" w:rsidP="00172522">
            <w:pPr>
              <w:ind w:right="34"/>
              <w:jc w:val="right"/>
              <w:rPr>
                <w:sz w:val="22"/>
                <w:szCs w:val="22"/>
              </w:rPr>
            </w:pPr>
            <w:r w:rsidRPr="000C7281">
              <w:rPr>
                <w:sz w:val="22"/>
                <w:szCs w:val="22"/>
              </w:rPr>
              <w:t>0.000</w:t>
            </w:r>
          </w:p>
        </w:tc>
        <w:tc>
          <w:tcPr>
            <w:tcW w:w="1985" w:type="dxa"/>
            <w:tcBorders>
              <w:top w:val="nil"/>
              <w:left w:val="nil"/>
              <w:bottom w:val="single" w:sz="8" w:space="0" w:color="auto"/>
              <w:right w:val="nil"/>
            </w:tcBorders>
            <w:shd w:val="clear" w:color="auto" w:fill="auto"/>
            <w:hideMark/>
          </w:tcPr>
          <w:p w:rsidR="00172522" w:rsidRPr="000C7281" w:rsidRDefault="00172522" w:rsidP="00172522">
            <w:pPr>
              <w:jc w:val="right"/>
              <w:rPr>
                <w:sz w:val="22"/>
                <w:szCs w:val="22"/>
              </w:rPr>
            </w:pPr>
          </w:p>
        </w:tc>
        <w:tc>
          <w:tcPr>
            <w:tcW w:w="1701" w:type="dxa"/>
            <w:tcBorders>
              <w:top w:val="nil"/>
              <w:left w:val="nil"/>
              <w:bottom w:val="single" w:sz="8" w:space="0" w:color="auto"/>
              <w:right w:val="nil"/>
            </w:tcBorders>
          </w:tcPr>
          <w:p w:rsidR="00172522" w:rsidRPr="000C7281" w:rsidRDefault="00172522" w:rsidP="00172522">
            <w:pPr>
              <w:ind w:right="34"/>
              <w:jc w:val="right"/>
              <w:rPr>
                <w:sz w:val="22"/>
                <w:szCs w:val="22"/>
              </w:rPr>
            </w:pPr>
            <w:r w:rsidRPr="000C7281">
              <w:rPr>
                <w:sz w:val="22"/>
                <w:szCs w:val="22"/>
              </w:rPr>
              <w:t>0.000</w:t>
            </w:r>
          </w:p>
        </w:tc>
        <w:tc>
          <w:tcPr>
            <w:tcW w:w="1275" w:type="dxa"/>
            <w:tcBorders>
              <w:top w:val="nil"/>
              <w:left w:val="nil"/>
              <w:bottom w:val="single" w:sz="8" w:space="0" w:color="auto"/>
              <w:right w:val="nil"/>
            </w:tcBorders>
          </w:tcPr>
          <w:p w:rsidR="00172522" w:rsidRPr="000C7281" w:rsidRDefault="00172522" w:rsidP="00172522">
            <w:pPr>
              <w:jc w:val="right"/>
              <w:rPr>
                <w:sz w:val="22"/>
                <w:szCs w:val="22"/>
              </w:rPr>
            </w:pPr>
          </w:p>
        </w:tc>
      </w:tr>
    </w:tbl>
    <w:p w:rsidR="00172522" w:rsidRPr="000C7281" w:rsidRDefault="00172522" w:rsidP="002F3FA6">
      <w:pPr>
        <w:pStyle w:val="Subtitle"/>
        <w:spacing w:line="240" w:lineRule="auto"/>
        <w:ind w:left="993" w:hanging="1135"/>
        <w:jc w:val="both"/>
        <w:rPr>
          <w:b w:val="0"/>
          <w:sz w:val="22"/>
          <w:szCs w:val="22"/>
          <w:lang w:val="en-GB"/>
        </w:rPr>
      </w:pPr>
      <w:r w:rsidRPr="000C7281">
        <w:rPr>
          <w:b w:val="0"/>
          <w:sz w:val="22"/>
          <w:szCs w:val="22"/>
          <w:lang w:val="en-GB"/>
        </w:rPr>
        <w:lastRenderedPageBreak/>
        <w:t>Description</w:t>
      </w:r>
      <w:r w:rsidRPr="000C7281">
        <w:rPr>
          <w:b w:val="0"/>
          <w:sz w:val="22"/>
          <w:szCs w:val="22"/>
        </w:rPr>
        <w:t xml:space="preserve">: ***) </w:t>
      </w:r>
      <w:r w:rsidRPr="000C7281">
        <w:rPr>
          <w:b w:val="0"/>
          <w:sz w:val="22"/>
          <w:szCs w:val="22"/>
          <w:lang w:val="en-GB"/>
        </w:rPr>
        <w:t>significantly impactful with error tolerance of</w:t>
      </w:r>
      <w:r w:rsidRPr="000C7281">
        <w:rPr>
          <w:b w:val="0"/>
          <w:sz w:val="22"/>
          <w:szCs w:val="22"/>
        </w:rPr>
        <w:t xml:space="preserve"> 1%; **) </w:t>
      </w:r>
      <w:r w:rsidRPr="000C7281">
        <w:rPr>
          <w:b w:val="0"/>
          <w:sz w:val="22"/>
          <w:szCs w:val="22"/>
          <w:lang w:val="en-GB"/>
        </w:rPr>
        <w:t xml:space="preserve">significantly impactful with error tolerance of </w:t>
      </w:r>
      <w:r w:rsidRPr="000C7281">
        <w:rPr>
          <w:b w:val="0"/>
          <w:sz w:val="22"/>
          <w:szCs w:val="22"/>
        </w:rPr>
        <w:t>5%</w:t>
      </w:r>
    </w:p>
    <w:p w:rsidR="000C7281" w:rsidRPr="000C7281" w:rsidRDefault="000C7281" w:rsidP="000C7281">
      <w:pPr>
        <w:spacing w:after="240"/>
        <w:jc w:val="both"/>
        <w:rPr>
          <w:sz w:val="22"/>
          <w:szCs w:val="22"/>
        </w:rPr>
      </w:pPr>
      <w:r w:rsidRPr="000C7281">
        <w:rPr>
          <w:sz w:val="22"/>
          <w:szCs w:val="22"/>
          <w:lang w:val="en-ID"/>
        </w:rPr>
        <w:t>Source</w:t>
      </w:r>
      <w:r w:rsidRPr="000C7281">
        <w:rPr>
          <w:sz w:val="22"/>
          <w:szCs w:val="22"/>
        </w:rPr>
        <w:t xml:space="preserve">: </w:t>
      </w:r>
      <w:r w:rsidRPr="000C7281">
        <w:rPr>
          <w:sz w:val="22"/>
          <w:szCs w:val="22"/>
          <w:lang w:val="en-ID"/>
        </w:rPr>
        <w:t xml:space="preserve">Analysed </w:t>
      </w:r>
      <w:r w:rsidRPr="000C7281">
        <w:rPr>
          <w:sz w:val="22"/>
          <w:szCs w:val="22"/>
        </w:rPr>
        <w:t>from interviewing managers of rural economic institutions (201</w:t>
      </w:r>
      <w:r w:rsidRPr="000C7281">
        <w:rPr>
          <w:sz w:val="22"/>
          <w:szCs w:val="22"/>
          <w:lang w:val="id-ID"/>
        </w:rPr>
        <w:t>7</w:t>
      </w:r>
      <w:r w:rsidRPr="000C7281">
        <w:rPr>
          <w:sz w:val="22"/>
          <w:szCs w:val="22"/>
        </w:rPr>
        <w:t>)</w:t>
      </w:r>
    </w:p>
    <w:p w:rsidR="00172522" w:rsidRPr="000C7281" w:rsidRDefault="00172522" w:rsidP="00172522">
      <w:pPr>
        <w:spacing w:after="240"/>
        <w:ind w:firstLine="426"/>
        <w:jc w:val="both"/>
        <w:rPr>
          <w:sz w:val="22"/>
          <w:szCs w:val="22"/>
        </w:rPr>
      </w:pPr>
      <w:r w:rsidRPr="000C7281">
        <w:rPr>
          <w:sz w:val="22"/>
          <w:szCs w:val="22"/>
          <w:lang w:val="id-ID"/>
        </w:rPr>
        <w:t>Innovation</w:t>
      </w:r>
      <w:r w:rsidRPr="000C7281">
        <w:rPr>
          <w:sz w:val="22"/>
          <w:szCs w:val="22"/>
        </w:rPr>
        <w:t xml:space="preserve"> Capacity (INOV) had a positive and significant impact on </w:t>
      </w:r>
      <w:r w:rsidRPr="000C7281">
        <w:rPr>
          <w:sz w:val="22"/>
          <w:szCs w:val="22"/>
          <w:lang w:val="id-ID"/>
        </w:rPr>
        <w:t>institutional performance</w:t>
      </w:r>
      <w:r w:rsidRPr="000C7281">
        <w:rPr>
          <w:sz w:val="22"/>
          <w:szCs w:val="22"/>
        </w:rPr>
        <w:t xml:space="preserve"> (</w:t>
      </w:r>
      <w:r w:rsidRPr="000C7281">
        <w:rPr>
          <w:i/>
          <w:iCs/>
          <w:sz w:val="22"/>
          <w:szCs w:val="22"/>
        </w:rPr>
        <w:sym w:font="Symbol" w:char="F072"/>
      </w:r>
      <w:r w:rsidRPr="000C7281">
        <w:rPr>
          <w:sz w:val="22"/>
          <w:szCs w:val="22"/>
        </w:rPr>
        <w:t xml:space="preserve"> = 0.000 &lt; 1%).The regression coefficient of the </w:t>
      </w:r>
      <w:r w:rsidRPr="000C7281">
        <w:rPr>
          <w:sz w:val="22"/>
          <w:szCs w:val="22"/>
          <w:lang w:val="id-ID"/>
        </w:rPr>
        <w:t>Innovation</w:t>
      </w:r>
      <w:r w:rsidRPr="000C7281">
        <w:rPr>
          <w:sz w:val="22"/>
          <w:szCs w:val="22"/>
        </w:rPr>
        <w:t xml:space="preserve"> Capacity </w:t>
      </w:r>
      <w:r w:rsidRPr="000C7281">
        <w:rPr>
          <w:sz w:val="22"/>
          <w:szCs w:val="22"/>
          <w:lang w:val="id-ID"/>
        </w:rPr>
        <w:t>on institutional performance</w:t>
      </w:r>
      <w:r w:rsidRPr="000C7281">
        <w:rPr>
          <w:sz w:val="22"/>
          <w:szCs w:val="22"/>
        </w:rPr>
        <w:t xml:space="preserve"> was 0,605</w:t>
      </w:r>
      <w:r w:rsidRPr="000C7281">
        <w:rPr>
          <w:sz w:val="22"/>
          <w:szCs w:val="22"/>
          <w:lang w:val="id-ID"/>
        </w:rPr>
        <w:t>.Interpretation of</w:t>
      </w:r>
      <w:r w:rsidR="002F3FA6" w:rsidRPr="000C7281">
        <w:rPr>
          <w:sz w:val="22"/>
          <w:szCs w:val="22"/>
        </w:rPr>
        <w:t xml:space="preserve">regression coefficient </w:t>
      </w:r>
      <w:r w:rsidRPr="000C7281">
        <w:rPr>
          <w:sz w:val="22"/>
          <w:szCs w:val="22"/>
        </w:rPr>
        <w:t xml:space="preserve">that an increase in </w:t>
      </w:r>
      <w:r w:rsidRPr="000C7281">
        <w:rPr>
          <w:sz w:val="22"/>
          <w:szCs w:val="22"/>
          <w:lang w:val="id-ID"/>
        </w:rPr>
        <w:t>Innovation</w:t>
      </w:r>
      <w:r w:rsidRPr="000C7281">
        <w:rPr>
          <w:sz w:val="22"/>
          <w:szCs w:val="22"/>
        </w:rPr>
        <w:t xml:space="preserve"> capacity of 1 unit would be accompanied by an increase in </w:t>
      </w:r>
      <w:r w:rsidRPr="000C7281">
        <w:rPr>
          <w:sz w:val="22"/>
          <w:szCs w:val="22"/>
          <w:lang w:val="id-ID"/>
        </w:rPr>
        <w:t>institutional performance</w:t>
      </w:r>
      <w:r w:rsidRPr="000C7281">
        <w:rPr>
          <w:sz w:val="22"/>
          <w:szCs w:val="22"/>
        </w:rPr>
        <w:t xml:space="preserve"> of 0,605</w:t>
      </w:r>
      <w:r w:rsidRPr="000C7281">
        <w:rPr>
          <w:sz w:val="22"/>
          <w:szCs w:val="22"/>
          <w:lang w:val="id-ID"/>
        </w:rPr>
        <w:t xml:space="preserve"> percent</w:t>
      </w:r>
      <w:r w:rsidRPr="000C7281">
        <w:rPr>
          <w:sz w:val="22"/>
          <w:szCs w:val="22"/>
        </w:rPr>
        <w:t xml:space="preserve">, whereas </w:t>
      </w:r>
      <w:r w:rsidRPr="000C7281">
        <w:rPr>
          <w:sz w:val="22"/>
          <w:szCs w:val="22"/>
          <w:lang w:val="id-ID"/>
        </w:rPr>
        <w:t>Innovation</w:t>
      </w:r>
      <w:r w:rsidRPr="000C7281">
        <w:rPr>
          <w:sz w:val="22"/>
          <w:szCs w:val="22"/>
        </w:rPr>
        <w:t xml:space="preserve"> Capacity decline as far as 1 unit would be accompanied by a reduction in </w:t>
      </w:r>
      <w:r w:rsidRPr="000C7281">
        <w:rPr>
          <w:sz w:val="22"/>
          <w:szCs w:val="22"/>
          <w:lang w:val="id-ID"/>
        </w:rPr>
        <w:t>institutional performance</w:t>
      </w:r>
      <w:r w:rsidRPr="000C7281">
        <w:rPr>
          <w:sz w:val="22"/>
          <w:szCs w:val="22"/>
        </w:rPr>
        <w:t xml:space="preserve"> of </w:t>
      </w:r>
      <w:r w:rsidRPr="000C7281">
        <w:rPr>
          <w:sz w:val="22"/>
          <w:szCs w:val="22"/>
          <w:lang w:val="id-ID"/>
        </w:rPr>
        <w:t>0</w:t>
      </w:r>
      <w:r w:rsidRPr="000C7281">
        <w:rPr>
          <w:sz w:val="22"/>
          <w:szCs w:val="22"/>
        </w:rPr>
        <w:t>,605</w:t>
      </w:r>
      <w:r w:rsidRPr="000C7281">
        <w:rPr>
          <w:sz w:val="22"/>
          <w:szCs w:val="22"/>
          <w:lang w:val="id-ID"/>
        </w:rPr>
        <w:t xml:space="preserve"> percent</w:t>
      </w:r>
      <w:r w:rsidRPr="000C7281">
        <w:rPr>
          <w:sz w:val="22"/>
          <w:szCs w:val="22"/>
        </w:rPr>
        <w:t>, noting that other variables remained constant.</w:t>
      </w:r>
    </w:p>
    <w:p w:rsidR="00172522" w:rsidRPr="000C7281" w:rsidRDefault="00172522" w:rsidP="00172522">
      <w:pPr>
        <w:spacing w:after="240"/>
        <w:ind w:firstLine="426"/>
        <w:jc w:val="both"/>
        <w:rPr>
          <w:sz w:val="22"/>
          <w:szCs w:val="22"/>
        </w:rPr>
      </w:pPr>
      <w:r w:rsidRPr="000C7281">
        <w:rPr>
          <w:sz w:val="22"/>
          <w:szCs w:val="22"/>
        </w:rPr>
        <w:t>Policy and Regulation (REG)had a positive and significant impact on innovation capacity (</w:t>
      </w:r>
      <w:r w:rsidRPr="000C7281">
        <w:rPr>
          <w:i/>
          <w:iCs/>
          <w:sz w:val="22"/>
          <w:szCs w:val="22"/>
        </w:rPr>
        <w:sym w:font="Symbol" w:char="F072"/>
      </w:r>
      <w:r w:rsidRPr="000C7281">
        <w:rPr>
          <w:sz w:val="22"/>
          <w:szCs w:val="22"/>
        </w:rPr>
        <w:t xml:space="preserve"> = 0.047 &lt; 5%).  The regression coefficient of the Policy and Regulation </w:t>
      </w:r>
      <w:r w:rsidRPr="000C7281">
        <w:rPr>
          <w:sz w:val="22"/>
          <w:szCs w:val="22"/>
          <w:lang w:val="id-ID"/>
        </w:rPr>
        <w:t xml:space="preserve">on </w:t>
      </w:r>
      <w:r w:rsidRPr="000C7281">
        <w:rPr>
          <w:sz w:val="22"/>
          <w:szCs w:val="22"/>
        </w:rPr>
        <w:t>innovation capacity was 0,</w:t>
      </w:r>
      <w:r w:rsidRPr="000C7281">
        <w:rPr>
          <w:sz w:val="22"/>
          <w:szCs w:val="22"/>
          <w:lang w:val="id-ID"/>
        </w:rPr>
        <w:t>231</w:t>
      </w:r>
      <w:r w:rsidR="002F3FA6" w:rsidRPr="000C7281">
        <w:rPr>
          <w:sz w:val="22"/>
          <w:szCs w:val="22"/>
          <w:lang w:val="id-ID"/>
        </w:rPr>
        <w:t>.Interpretation of</w:t>
      </w:r>
      <w:r w:rsidR="002F3FA6" w:rsidRPr="000C7281">
        <w:rPr>
          <w:sz w:val="22"/>
          <w:szCs w:val="22"/>
        </w:rPr>
        <w:t xml:space="preserve"> regression coefficient </w:t>
      </w:r>
      <w:r w:rsidRPr="000C7281">
        <w:rPr>
          <w:sz w:val="22"/>
          <w:szCs w:val="22"/>
        </w:rPr>
        <w:t>that an increase in Policy and Regulation of 1 unit would be accompanied by an increase in innovation capacity of 0,</w:t>
      </w:r>
      <w:r w:rsidRPr="000C7281">
        <w:rPr>
          <w:sz w:val="22"/>
          <w:szCs w:val="22"/>
          <w:lang w:val="id-ID"/>
        </w:rPr>
        <w:t xml:space="preserve">231 </w:t>
      </w:r>
      <w:r w:rsidRPr="000C7281">
        <w:rPr>
          <w:sz w:val="22"/>
          <w:szCs w:val="22"/>
        </w:rPr>
        <w:t>unit, whereas Policy and Regulation decline as far as 1 unit would be accompanied by a reduction in innovation capacity of 0,</w:t>
      </w:r>
      <w:r w:rsidRPr="000C7281">
        <w:rPr>
          <w:sz w:val="22"/>
          <w:szCs w:val="22"/>
          <w:lang w:val="id-ID"/>
        </w:rPr>
        <w:t xml:space="preserve">231 </w:t>
      </w:r>
      <w:r w:rsidRPr="000C7281">
        <w:rPr>
          <w:sz w:val="22"/>
          <w:szCs w:val="22"/>
        </w:rPr>
        <w:t>unit, noting that other variables remained constant.</w:t>
      </w:r>
    </w:p>
    <w:p w:rsidR="00172522" w:rsidRPr="000C7281" w:rsidRDefault="00172522" w:rsidP="00172522">
      <w:pPr>
        <w:spacing w:after="240"/>
        <w:ind w:firstLine="426"/>
        <w:jc w:val="both"/>
        <w:rPr>
          <w:sz w:val="22"/>
          <w:szCs w:val="22"/>
          <w:lang w:val="id-ID"/>
        </w:rPr>
      </w:pPr>
      <w:r w:rsidRPr="000C7281">
        <w:rPr>
          <w:sz w:val="22"/>
          <w:szCs w:val="22"/>
        </w:rPr>
        <w:t>Rural Infrastructure Capacity</w:t>
      </w:r>
      <w:r w:rsidRPr="000C7281">
        <w:rPr>
          <w:sz w:val="22"/>
          <w:szCs w:val="22"/>
          <w:lang w:val="id-ID"/>
        </w:rPr>
        <w:t xml:space="preserve"> (INF)</w:t>
      </w:r>
      <w:r w:rsidRPr="000C7281">
        <w:rPr>
          <w:sz w:val="22"/>
          <w:szCs w:val="22"/>
        </w:rPr>
        <w:t xml:space="preserve"> had a positive and significant impact on innovation capacity</w:t>
      </w:r>
      <w:r w:rsidRPr="000C7281">
        <w:rPr>
          <w:sz w:val="22"/>
          <w:szCs w:val="22"/>
          <w:lang w:val="id-ID"/>
        </w:rPr>
        <w:t xml:space="preserve"> (</w:t>
      </w:r>
      <w:r w:rsidRPr="000C7281">
        <w:rPr>
          <w:i/>
          <w:iCs/>
          <w:sz w:val="22"/>
          <w:szCs w:val="22"/>
        </w:rPr>
        <w:sym w:font="Symbol" w:char="F072"/>
      </w:r>
      <w:r w:rsidRPr="000C7281">
        <w:rPr>
          <w:iCs/>
          <w:sz w:val="22"/>
          <w:szCs w:val="22"/>
          <w:lang w:val="id-ID"/>
        </w:rPr>
        <w:t>= 0.000 &lt; 1%)</w:t>
      </w:r>
      <w:r w:rsidRPr="000C7281">
        <w:rPr>
          <w:sz w:val="22"/>
          <w:szCs w:val="22"/>
          <w:lang w:val="id-ID"/>
        </w:rPr>
        <w:t>.</w:t>
      </w:r>
      <w:r w:rsidRPr="000C7281">
        <w:rPr>
          <w:sz w:val="22"/>
          <w:szCs w:val="22"/>
        </w:rPr>
        <w:t>The regression coefficient of the Rural Infrastructure Capacity</w:t>
      </w:r>
      <w:r w:rsidRPr="000C7281">
        <w:rPr>
          <w:sz w:val="22"/>
          <w:szCs w:val="22"/>
          <w:lang w:val="id-ID"/>
        </w:rPr>
        <w:t xml:space="preserve"> on </w:t>
      </w:r>
      <w:r w:rsidRPr="000C7281">
        <w:rPr>
          <w:sz w:val="22"/>
          <w:szCs w:val="22"/>
        </w:rPr>
        <w:t>innovation capacity was 0,333</w:t>
      </w:r>
      <w:r w:rsidR="002F3FA6" w:rsidRPr="000C7281">
        <w:rPr>
          <w:sz w:val="22"/>
          <w:szCs w:val="22"/>
          <w:lang w:val="id-ID"/>
        </w:rPr>
        <w:t>.Interpretation of</w:t>
      </w:r>
      <w:r w:rsidR="002F3FA6" w:rsidRPr="000C7281">
        <w:rPr>
          <w:sz w:val="22"/>
          <w:szCs w:val="22"/>
        </w:rPr>
        <w:t xml:space="preserve"> regression coefficient </w:t>
      </w:r>
      <w:r w:rsidRPr="000C7281">
        <w:rPr>
          <w:sz w:val="22"/>
          <w:szCs w:val="22"/>
        </w:rPr>
        <w:t>that an increase in Rural Infrastructure Capacityof 1 unit would be accompanied by an increase in innovation capacity of 0,333unit, whereas Rural Infrastructure Capacitydecline as far as 1 unit would be accompanied by a reduction in innovation capacity of 0,333unit, noting that other variables remained constant.</w:t>
      </w:r>
    </w:p>
    <w:p w:rsidR="00172522" w:rsidRPr="000C7281" w:rsidRDefault="00172522" w:rsidP="00172522">
      <w:pPr>
        <w:spacing w:after="240"/>
        <w:ind w:firstLine="426"/>
        <w:jc w:val="both"/>
        <w:rPr>
          <w:sz w:val="22"/>
          <w:szCs w:val="22"/>
          <w:lang w:val="id-ID"/>
        </w:rPr>
      </w:pPr>
      <w:r w:rsidRPr="000C7281">
        <w:rPr>
          <w:sz w:val="22"/>
          <w:szCs w:val="22"/>
        </w:rPr>
        <w:t>The capacity of Rural Institutional Management</w:t>
      </w:r>
      <w:r w:rsidRPr="000C7281">
        <w:rPr>
          <w:sz w:val="22"/>
          <w:szCs w:val="22"/>
          <w:lang w:val="id-ID"/>
        </w:rPr>
        <w:t xml:space="preserve"> (MAN)</w:t>
      </w:r>
      <w:r w:rsidRPr="000C7281">
        <w:rPr>
          <w:sz w:val="22"/>
          <w:szCs w:val="22"/>
        </w:rPr>
        <w:t xml:space="preserve"> had a positive and significant effect on innovation capacity</w:t>
      </w:r>
      <w:r w:rsidRPr="000C7281">
        <w:rPr>
          <w:sz w:val="22"/>
          <w:szCs w:val="22"/>
          <w:lang w:val="id-ID"/>
        </w:rPr>
        <w:t xml:space="preserve"> (</w:t>
      </w:r>
      <w:r w:rsidRPr="000C7281">
        <w:rPr>
          <w:i/>
          <w:iCs/>
          <w:sz w:val="22"/>
          <w:szCs w:val="22"/>
        </w:rPr>
        <w:sym w:font="Symbol" w:char="F072"/>
      </w:r>
      <w:r w:rsidRPr="000C7281">
        <w:rPr>
          <w:iCs/>
          <w:sz w:val="22"/>
          <w:szCs w:val="22"/>
          <w:lang w:val="id-ID"/>
        </w:rPr>
        <w:t>= 0.048 &lt; 5%)</w:t>
      </w:r>
      <w:r w:rsidRPr="000C7281">
        <w:rPr>
          <w:sz w:val="22"/>
          <w:szCs w:val="22"/>
          <w:lang w:val="id-ID"/>
        </w:rPr>
        <w:t xml:space="preserve">. </w:t>
      </w:r>
      <w:r w:rsidRPr="000C7281">
        <w:rPr>
          <w:sz w:val="22"/>
          <w:szCs w:val="22"/>
        </w:rPr>
        <w:t>The regression coefficient of the Management</w:t>
      </w:r>
      <w:r w:rsidRPr="000C7281">
        <w:rPr>
          <w:sz w:val="22"/>
          <w:szCs w:val="22"/>
          <w:lang w:val="id-ID"/>
        </w:rPr>
        <w:t xml:space="preserve"> C</w:t>
      </w:r>
      <w:r w:rsidRPr="000C7281">
        <w:rPr>
          <w:sz w:val="22"/>
          <w:szCs w:val="22"/>
        </w:rPr>
        <w:t xml:space="preserve">apacity </w:t>
      </w:r>
      <w:r w:rsidRPr="000C7281">
        <w:rPr>
          <w:sz w:val="22"/>
          <w:szCs w:val="22"/>
          <w:lang w:val="id-ID"/>
        </w:rPr>
        <w:t xml:space="preserve">on </w:t>
      </w:r>
      <w:r w:rsidRPr="000C7281">
        <w:rPr>
          <w:sz w:val="22"/>
          <w:szCs w:val="22"/>
        </w:rPr>
        <w:t>innovation capacity was 0,</w:t>
      </w:r>
      <w:r w:rsidRPr="000C7281">
        <w:rPr>
          <w:sz w:val="22"/>
          <w:szCs w:val="22"/>
          <w:lang w:val="id-ID"/>
        </w:rPr>
        <w:t>109</w:t>
      </w:r>
      <w:r w:rsidR="002F3FA6" w:rsidRPr="000C7281">
        <w:rPr>
          <w:sz w:val="22"/>
          <w:szCs w:val="22"/>
          <w:lang w:val="id-ID"/>
        </w:rPr>
        <w:t>.Interpretation of</w:t>
      </w:r>
      <w:r w:rsidR="002F3FA6" w:rsidRPr="000C7281">
        <w:rPr>
          <w:sz w:val="22"/>
          <w:szCs w:val="22"/>
        </w:rPr>
        <w:t xml:space="preserve"> regression coefficient that </w:t>
      </w:r>
      <w:r w:rsidRPr="000C7281">
        <w:rPr>
          <w:sz w:val="22"/>
          <w:szCs w:val="22"/>
        </w:rPr>
        <w:t>an increase in Management</w:t>
      </w:r>
      <w:r w:rsidRPr="000C7281">
        <w:rPr>
          <w:sz w:val="22"/>
          <w:szCs w:val="22"/>
          <w:lang w:val="id-ID"/>
        </w:rPr>
        <w:t xml:space="preserve"> C</w:t>
      </w:r>
      <w:r w:rsidRPr="000C7281">
        <w:rPr>
          <w:sz w:val="22"/>
          <w:szCs w:val="22"/>
        </w:rPr>
        <w:t>apacity of 1 unit would be accompanied by an increase in innovation capacity of 0,</w:t>
      </w:r>
      <w:r w:rsidRPr="000C7281">
        <w:rPr>
          <w:sz w:val="22"/>
          <w:szCs w:val="22"/>
          <w:lang w:val="id-ID"/>
        </w:rPr>
        <w:t xml:space="preserve">231 </w:t>
      </w:r>
      <w:r w:rsidRPr="000C7281">
        <w:rPr>
          <w:sz w:val="22"/>
          <w:szCs w:val="22"/>
        </w:rPr>
        <w:t>unit, whereas Management</w:t>
      </w:r>
      <w:r w:rsidRPr="000C7281">
        <w:rPr>
          <w:sz w:val="22"/>
          <w:szCs w:val="22"/>
          <w:lang w:val="id-ID"/>
        </w:rPr>
        <w:t xml:space="preserve"> C</w:t>
      </w:r>
      <w:r w:rsidRPr="000C7281">
        <w:rPr>
          <w:sz w:val="22"/>
          <w:szCs w:val="22"/>
        </w:rPr>
        <w:t>apacity decline as far as 1 unit would be accompanied by a reduction in innovation capacity of 0,</w:t>
      </w:r>
      <w:r w:rsidRPr="000C7281">
        <w:rPr>
          <w:sz w:val="22"/>
          <w:szCs w:val="22"/>
          <w:lang w:val="id-ID"/>
        </w:rPr>
        <w:t xml:space="preserve">109 </w:t>
      </w:r>
      <w:r w:rsidRPr="000C7281">
        <w:rPr>
          <w:sz w:val="22"/>
          <w:szCs w:val="22"/>
        </w:rPr>
        <w:t>unit, noting that other variables remained constant.</w:t>
      </w:r>
    </w:p>
    <w:p w:rsidR="00172522" w:rsidRPr="000C7281" w:rsidRDefault="00172522" w:rsidP="00172522">
      <w:pPr>
        <w:spacing w:after="240"/>
        <w:ind w:firstLine="426"/>
        <w:jc w:val="both"/>
        <w:rPr>
          <w:sz w:val="22"/>
          <w:szCs w:val="22"/>
          <w:lang w:val="id-ID"/>
        </w:rPr>
      </w:pPr>
      <w:r w:rsidRPr="000C7281">
        <w:rPr>
          <w:sz w:val="22"/>
          <w:szCs w:val="22"/>
          <w:lang w:val="id-ID"/>
        </w:rPr>
        <w:t>Innovation culture (CUL) had a positive and significant effect on the capacity of innovation (</w:t>
      </w:r>
      <w:r w:rsidRPr="000C7281">
        <w:rPr>
          <w:i/>
          <w:iCs/>
          <w:sz w:val="22"/>
          <w:szCs w:val="22"/>
        </w:rPr>
        <w:sym w:font="Symbol" w:char="F072"/>
      </w:r>
      <w:r w:rsidRPr="000C7281">
        <w:rPr>
          <w:sz w:val="22"/>
          <w:szCs w:val="22"/>
          <w:lang w:val="id-ID"/>
        </w:rPr>
        <w:t xml:space="preserve"> = 0.003 &lt; 1%).</w:t>
      </w:r>
      <w:r w:rsidRPr="000C7281">
        <w:rPr>
          <w:sz w:val="22"/>
          <w:szCs w:val="22"/>
        </w:rPr>
        <w:t xml:space="preserve">The regression coefficient of the </w:t>
      </w:r>
      <w:r w:rsidRPr="000C7281">
        <w:rPr>
          <w:sz w:val="22"/>
          <w:szCs w:val="22"/>
          <w:lang w:val="id-ID"/>
        </w:rPr>
        <w:t xml:space="preserve">Innovation culture on </w:t>
      </w:r>
      <w:r w:rsidRPr="000C7281">
        <w:rPr>
          <w:sz w:val="22"/>
          <w:szCs w:val="22"/>
        </w:rPr>
        <w:t>innovation capacity was 0,</w:t>
      </w:r>
      <w:r w:rsidRPr="000C7281">
        <w:rPr>
          <w:sz w:val="22"/>
          <w:szCs w:val="22"/>
          <w:lang w:val="id-ID"/>
        </w:rPr>
        <w:t>268</w:t>
      </w:r>
      <w:r w:rsidR="002F3FA6" w:rsidRPr="000C7281">
        <w:rPr>
          <w:sz w:val="22"/>
          <w:szCs w:val="22"/>
          <w:lang w:val="id-ID"/>
        </w:rPr>
        <w:t>.Interpretation of</w:t>
      </w:r>
      <w:r w:rsidR="002F3FA6" w:rsidRPr="000C7281">
        <w:rPr>
          <w:sz w:val="22"/>
          <w:szCs w:val="22"/>
        </w:rPr>
        <w:t xml:space="preserve"> regression coefficient that </w:t>
      </w:r>
      <w:r w:rsidRPr="000C7281">
        <w:rPr>
          <w:sz w:val="22"/>
          <w:szCs w:val="22"/>
        </w:rPr>
        <w:t xml:space="preserve">an increase in </w:t>
      </w:r>
      <w:r w:rsidRPr="000C7281">
        <w:rPr>
          <w:sz w:val="22"/>
          <w:szCs w:val="22"/>
          <w:lang w:val="id-ID"/>
        </w:rPr>
        <w:t xml:space="preserve">Innovation culture </w:t>
      </w:r>
      <w:r w:rsidRPr="000C7281">
        <w:rPr>
          <w:sz w:val="22"/>
          <w:szCs w:val="22"/>
        </w:rPr>
        <w:t>of 1 unit would be accompanied by an increase in innovation capacity of 0,</w:t>
      </w:r>
      <w:r w:rsidRPr="000C7281">
        <w:rPr>
          <w:sz w:val="22"/>
          <w:szCs w:val="22"/>
          <w:lang w:val="id-ID"/>
        </w:rPr>
        <w:t xml:space="preserve">268 </w:t>
      </w:r>
      <w:r w:rsidRPr="000C7281">
        <w:rPr>
          <w:sz w:val="22"/>
          <w:szCs w:val="22"/>
        </w:rPr>
        <w:t xml:space="preserve">unit, whereas </w:t>
      </w:r>
      <w:r w:rsidRPr="000C7281">
        <w:rPr>
          <w:sz w:val="22"/>
          <w:szCs w:val="22"/>
          <w:lang w:val="id-ID"/>
        </w:rPr>
        <w:t xml:space="preserve">Innovation culture </w:t>
      </w:r>
      <w:r w:rsidRPr="000C7281">
        <w:rPr>
          <w:sz w:val="22"/>
          <w:szCs w:val="22"/>
        </w:rPr>
        <w:t>decline as far as 1 unit would be accompanied by a reduction in innovation capacity of 0,</w:t>
      </w:r>
      <w:r w:rsidRPr="000C7281">
        <w:rPr>
          <w:sz w:val="22"/>
          <w:szCs w:val="22"/>
          <w:lang w:val="id-ID"/>
        </w:rPr>
        <w:t xml:space="preserve">258 </w:t>
      </w:r>
      <w:r w:rsidRPr="000C7281">
        <w:rPr>
          <w:sz w:val="22"/>
          <w:szCs w:val="22"/>
        </w:rPr>
        <w:t>unit, noting that other variables remained constant.</w:t>
      </w:r>
    </w:p>
    <w:p w:rsidR="00172522" w:rsidRPr="000C7281" w:rsidRDefault="00172522" w:rsidP="00172522">
      <w:pPr>
        <w:spacing w:after="240"/>
        <w:ind w:firstLine="426"/>
        <w:jc w:val="both"/>
        <w:rPr>
          <w:sz w:val="22"/>
          <w:szCs w:val="22"/>
        </w:rPr>
      </w:pPr>
      <w:r w:rsidRPr="000C7281">
        <w:rPr>
          <w:sz w:val="22"/>
          <w:szCs w:val="22"/>
        </w:rPr>
        <w:t xml:space="preserve">Knowledge </w:t>
      </w:r>
      <w:r w:rsidRPr="000C7281">
        <w:rPr>
          <w:sz w:val="22"/>
          <w:szCs w:val="22"/>
          <w:lang w:val="id-ID"/>
        </w:rPr>
        <w:t>Management (KNOW)</w:t>
      </w:r>
      <w:r w:rsidRPr="000C7281">
        <w:rPr>
          <w:sz w:val="22"/>
          <w:szCs w:val="22"/>
        </w:rPr>
        <w:t xml:space="preserve"> had a positive and significant effect on innovation capacity</w:t>
      </w:r>
      <w:r w:rsidRPr="000C7281">
        <w:rPr>
          <w:sz w:val="22"/>
          <w:szCs w:val="22"/>
          <w:lang w:val="id-ID"/>
        </w:rPr>
        <w:t xml:space="preserve"> (</w:t>
      </w:r>
      <w:r w:rsidRPr="000C7281">
        <w:rPr>
          <w:i/>
          <w:iCs/>
          <w:sz w:val="22"/>
          <w:szCs w:val="22"/>
        </w:rPr>
        <w:sym w:font="Symbol" w:char="F072"/>
      </w:r>
      <w:r w:rsidRPr="000C7281">
        <w:rPr>
          <w:iCs/>
          <w:sz w:val="22"/>
          <w:szCs w:val="22"/>
          <w:lang w:val="id-ID"/>
        </w:rPr>
        <w:t>= 0.014 &lt; 5%)</w:t>
      </w:r>
      <w:r w:rsidRPr="000C7281">
        <w:rPr>
          <w:sz w:val="22"/>
          <w:szCs w:val="22"/>
        </w:rPr>
        <w:t xml:space="preserve">. The regression coefficient of the Knowledge </w:t>
      </w:r>
      <w:r w:rsidRPr="000C7281">
        <w:rPr>
          <w:sz w:val="22"/>
          <w:szCs w:val="22"/>
          <w:lang w:val="id-ID"/>
        </w:rPr>
        <w:t xml:space="preserve">Management on </w:t>
      </w:r>
      <w:r w:rsidRPr="000C7281">
        <w:rPr>
          <w:sz w:val="22"/>
          <w:szCs w:val="22"/>
        </w:rPr>
        <w:t>innovation capacity was 0,</w:t>
      </w:r>
      <w:r w:rsidRPr="000C7281">
        <w:rPr>
          <w:sz w:val="22"/>
          <w:szCs w:val="22"/>
          <w:lang w:val="id-ID"/>
        </w:rPr>
        <w:t>258</w:t>
      </w:r>
      <w:r w:rsidR="002F3FA6" w:rsidRPr="000C7281">
        <w:rPr>
          <w:sz w:val="22"/>
          <w:szCs w:val="22"/>
          <w:lang w:val="id-ID"/>
        </w:rPr>
        <w:t>.Interpretation of</w:t>
      </w:r>
      <w:r w:rsidR="002F3FA6" w:rsidRPr="000C7281">
        <w:rPr>
          <w:sz w:val="22"/>
          <w:szCs w:val="22"/>
        </w:rPr>
        <w:t xml:space="preserve"> regression coefficient that </w:t>
      </w:r>
      <w:r w:rsidRPr="000C7281">
        <w:rPr>
          <w:sz w:val="22"/>
          <w:szCs w:val="22"/>
        </w:rPr>
        <w:t xml:space="preserve">an increase in Knowledge </w:t>
      </w:r>
      <w:r w:rsidRPr="000C7281">
        <w:rPr>
          <w:sz w:val="22"/>
          <w:szCs w:val="22"/>
          <w:lang w:val="id-ID"/>
        </w:rPr>
        <w:t xml:space="preserve">Management </w:t>
      </w:r>
      <w:r w:rsidRPr="000C7281">
        <w:rPr>
          <w:sz w:val="22"/>
          <w:szCs w:val="22"/>
        </w:rPr>
        <w:t>of 1 unit would be accompanied by an increase in innovation capacity of 0,</w:t>
      </w:r>
      <w:r w:rsidRPr="000C7281">
        <w:rPr>
          <w:sz w:val="22"/>
          <w:szCs w:val="22"/>
          <w:lang w:val="id-ID"/>
        </w:rPr>
        <w:t xml:space="preserve">258 </w:t>
      </w:r>
      <w:r w:rsidRPr="000C7281">
        <w:rPr>
          <w:sz w:val="22"/>
          <w:szCs w:val="22"/>
        </w:rPr>
        <w:t xml:space="preserve">unit, whereas Knowledge </w:t>
      </w:r>
      <w:r w:rsidRPr="000C7281">
        <w:rPr>
          <w:sz w:val="22"/>
          <w:szCs w:val="22"/>
          <w:lang w:val="id-ID"/>
        </w:rPr>
        <w:t xml:space="preserve">Management </w:t>
      </w:r>
      <w:r w:rsidRPr="000C7281">
        <w:rPr>
          <w:sz w:val="22"/>
          <w:szCs w:val="22"/>
        </w:rPr>
        <w:t>decline as far as 1 unit would be accompanied by a reduction in innovation capacity of 0,</w:t>
      </w:r>
      <w:r w:rsidRPr="000C7281">
        <w:rPr>
          <w:sz w:val="22"/>
          <w:szCs w:val="22"/>
          <w:lang w:val="id-ID"/>
        </w:rPr>
        <w:t xml:space="preserve">258 </w:t>
      </w:r>
      <w:r w:rsidRPr="000C7281">
        <w:rPr>
          <w:sz w:val="22"/>
          <w:szCs w:val="22"/>
        </w:rPr>
        <w:t>unit, noting that other variables remained constant.</w:t>
      </w:r>
    </w:p>
    <w:p w:rsidR="00670614" w:rsidRPr="000C7281" w:rsidRDefault="00670614" w:rsidP="00DC09AC">
      <w:pPr>
        <w:spacing w:after="240"/>
        <w:ind w:firstLine="360"/>
        <w:jc w:val="both"/>
        <w:rPr>
          <w:b/>
          <w:sz w:val="22"/>
          <w:szCs w:val="22"/>
        </w:rPr>
      </w:pPr>
      <w:r w:rsidRPr="000C7281">
        <w:rPr>
          <w:b/>
          <w:sz w:val="22"/>
          <w:szCs w:val="22"/>
        </w:rPr>
        <w:lastRenderedPageBreak/>
        <w:t xml:space="preserve">3.2 </w:t>
      </w:r>
      <w:r w:rsidR="00915E57" w:rsidRPr="000C7281">
        <w:rPr>
          <w:b/>
          <w:sz w:val="22"/>
          <w:szCs w:val="22"/>
        </w:rPr>
        <w:t>Discussion</w:t>
      </w:r>
    </w:p>
    <w:p w:rsidR="002F3FA6" w:rsidRPr="000C7281" w:rsidRDefault="00DC09AC" w:rsidP="00DC09AC">
      <w:pPr>
        <w:spacing w:after="240"/>
        <w:ind w:firstLine="426"/>
        <w:jc w:val="both"/>
        <w:rPr>
          <w:sz w:val="22"/>
          <w:szCs w:val="22"/>
        </w:rPr>
      </w:pPr>
      <w:r w:rsidRPr="000C7281">
        <w:rPr>
          <w:sz w:val="22"/>
          <w:szCs w:val="22"/>
          <w:lang w:val="id-ID"/>
        </w:rPr>
        <w:t xml:space="preserve">The results of the study showed that: policy and regulation support, innovation infrastructure, management capacity, innovation culture and knowledge management </w:t>
      </w:r>
      <w:r w:rsidRPr="000C7281">
        <w:rPr>
          <w:sz w:val="22"/>
          <w:szCs w:val="22"/>
        </w:rPr>
        <w:t>had a positive impact on</w:t>
      </w:r>
      <w:r w:rsidRPr="000C7281">
        <w:rPr>
          <w:sz w:val="22"/>
          <w:szCs w:val="22"/>
          <w:lang w:val="id-ID"/>
        </w:rPr>
        <w:t xml:space="preserve"> Innovation</w:t>
      </w:r>
      <w:r w:rsidRPr="000C7281">
        <w:rPr>
          <w:sz w:val="22"/>
          <w:szCs w:val="22"/>
        </w:rPr>
        <w:t xml:space="preserve"> Capacity</w:t>
      </w:r>
      <w:r w:rsidRPr="000C7281">
        <w:rPr>
          <w:sz w:val="22"/>
          <w:szCs w:val="22"/>
          <w:lang w:val="id-ID"/>
        </w:rPr>
        <w:t>. Innovation</w:t>
      </w:r>
      <w:r w:rsidRPr="000C7281">
        <w:rPr>
          <w:sz w:val="22"/>
          <w:szCs w:val="22"/>
        </w:rPr>
        <w:t xml:space="preserve"> Capacity had a positive impact on </w:t>
      </w:r>
      <w:r w:rsidRPr="000C7281">
        <w:rPr>
          <w:sz w:val="22"/>
          <w:szCs w:val="22"/>
          <w:lang w:val="id-ID"/>
        </w:rPr>
        <w:t xml:space="preserve">institutional performance. </w:t>
      </w:r>
      <w:r w:rsidR="00172522" w:rsidRPr="000C7281">
        <w:rPr>
          <w:sz w:val="22"/>
          <w:szCs w:val="22"/>
          <w:lang w:val="id-ID"/>
        </w:rPr>
        <w:t>Innovation</w:t>
      </w:r>
      <w:r w:rsidR="00172522" w:rsidRPr="000C7281">
        <w:rPr>
          <w:sz w:val="22"/>
          <w:szCs w:val="22"/>
        </w:rPr>
        <w:t xml:space="preserve"> Capacity had a positive and significant impact on </w:t>
      </w:r>
      <w:r w:rsidR="00172522" w:rsidRPr="000C7281">
        <w:rPr>
          <w:sz w:val="22"/>
          <w:szCs w:val="22"/>
          <w:lang w:val="id-ID"/>
        </w:rPr>
        <w:t>institutional performance</w:t>
      </w:r>
      <w:r w:rsidR="00172522" w:rsidRPr="000C7281">
        <w:rPr>
          <w:sz w:val="22"/>
          <w:szCs w:val="22"/>
        </w:rPr>
        <w:t>.</w:t>
      </w:r>
      <w:r w:rsidR="00172522" w:rsidRPr="000C7281">
        <w:rPr>
          <w:sz w:val="22"/>
          <w:szCs w:val="22"/>
          <w:lang w:val="id-ID"/>
        </w:rPr>
        <w:t xml:space="preserve"> Rural</w:t>
      </w:r>
      <w:r w:rsidR="00172522" w:rsidRPr="000C7281">
        <w:rPr>
          <w:sz w:val="22"/>
          <w:szCs w:val="22"/>
        </w:rPr>
        <w:t xml:space="preserve"> institutions both Bumdes, Gapoktan or Cooperatives are available for innovation activities such as: management of coffee commodities, agro-tourism management, water resource management, waste management for economic value, price control, product quality control, packaging, post-harvest technology adoption, marketing innovation generally have asset accumulation is higher than village institutions, either Bumdes, Gapoktan or Cooperatives, which are not available for innovation activities.</w:t>
      </w:r>
    </w:p>
    <w:p w:rsidR="00172522" w:rsidRPr="000C7281" w:rsidRDefault="00172522" w:rsidP="00DC09AC">
      <w:pPr>
        <w:spacing w:after="240"/>
        <w:ind w:firstLine="426"/>
        <w:jc w:val="both"/>
        <w:rPr>
          <w:sz w:val="22"/>
          <w:szCs w:val="22"/>
        </w:rPr>
      </w:pPr>
      <w:r w:rsidRPr="000C7281">
        <w:rPr>
          <w:sz w:val="22"/>
          <w:szCs w:val="22"/>
        </w:rPr>
        <w:t xml:space="preserve">Policy and Regulation had a positive and significant impact on innovation capacity.  Government policies and regulations in the form of fiscal incentives for innovation activities, protection of Intellectual Property Rights and Guarantees fair business competition has proven effective in increasing the innovation capacity of </w:t>
      </w:r>
      <w:r w:rsidRPr="000C7281">
        <w:rPr>
          <w:sz w:val="22"/>
          <w:szCs w:val="22"/>
          <w:lang w:val="id-ID"/>
        </w:rPr>
        <w:t xml:space="preserve">rural </w:t>
      </w:r>
      <w:r w:rsidRPr="000C7281">
        <w:rPr>
          <w:sz w:val="22"/>
          <w:szCs w:val="22"/>
        </w:rPr>
        <w:t xml:space="preserve">institutions, however the results of the study also found that regulation of Intellectual Property Rights still does not </w:t>
      </w:r>
      <w:r w:rsidRPr="000C7281">
        <w:rPr>
          <w:sz w:val="22"/>
          <w:szCs w:val="22"/>
          <w:lang w:val="id-ID"/>
        </w:rPr>
        <w:t xml:space="preserve">yet </w:t>
      </w:r>
      <w:r w:rsidRPr="000C7281">
        <w:rPr>
          <w:sz w:val="22"/>
          <w:szCs w:val="22"/>
        </w:rPr>
        <w:t>support, so these results have implications for strengthening law enforcement against violations of Intellectual Property Rights.</w:t>
      </w:r>
    </w:p>
    <w:p w:rsidR="002F3FA6" w:rsidRPr="000C7281" w:rsidRDefault="00172522" w:rsidP="00DC09AC">
      <w:pPr>
        <w:spacing w:after="240"/>
        <w:ind w:firstLine="426"/>
        <w:jc w:val="both"/>
        <w:rPr>
          <w:sz w:val="22"/>
          <w:szCs w:val="22"/>
          <w:lang w:val="id-ID"/>
        </w:rPr>
      </w:pPr>
      <w:r w:rsidRPr="000C7281">
        <w:rPr>
          <w:sz w:val="22"/>
          <w:szCs w:val="22"/>
        </w:rPr>
        <w:t>Rural Infrastructure Capacity had a positive and significant impact on innovation capacity</w:t>
      </w:r>
      <w:r w:rsidRPr="000C7281">
        <w:rPr>
          <w:sz w:val="22"/>
          <w:szCs w:val="22"/>
          <w:lang w:val="id-ID"/>
        </w:rPr>
        <w:t>.Village institutions that have access to adequate infrastructure capacity such as financial infrastructure, availability of information and communication technology, use of information and communication technology availability, adequate companion capacity and available training tend to have better capacity for innovation. Infrastructure support is needed to support access to input and output markets, access to credit information and facilities, and technical innovation assistance. On the input side, the availability of infrastructure supports access to resources, market information, financial services and technology. High quality input is an important prerequisite for achieving high product quality. Demand for inputs by business actors (farmers, fishermen, low traders and industrial entrepreneurs) is uncertain due to lack of liquidity and transactions for small-scale businesses. In addition, high input prices are combined with certainty the absence of output prices is an obstacle and inhibits small-scale business actors in rural areas to increase productivity and improve product quality to meet market needs (Kydd and Dorward, 2001: 473). On the output side, the availability of infrastructure supports market information, quality control and inspection, and relations to the output market.</w:t>
      </w:r>
    </w:p>
    <w:p w:rsidR="002F3FA6" w:rsidRPr="000C7281" w:rsidRDefault="00172522" w:rsidP="00DC09AC">
      <w:pPr>
        <w:spacing w:after="240"/>
        <w:ind w:firstLine="426"/>
        <w:jc w:val="both"/>
        <w:rPr>
          <w:sz w:val="22"/>
          <w:szCs w:val="22"/>
          <w:lang w:val="id-ID"/>
        </w:rPr>
      </w:pPr>
      <w:r w:rsidRPr="000C7281">
        <w:rPr>
          <w:sz w:val="22"/>
          <w:szCs w:val="22"/>
        </w:rPr>
        <w:t>The lack of market relations is often caused by rural infrastructure and the low production volume of individual farmers. Market networks are also hampered by monopolistic practices, corruption and low market confidence. In addition, the quality of agricultural and industrial products in rural areas is often uneven and uncertain, making private companies reluctant to cooperate with small-scale producers. Supermarkets often support large and medium-sized suppliers and are close to cities, considering the lower costs and risks of doing business with large and medium-scale suppliers in these rural areas (Berdegué et al., 2005).</w:t>
      </w:r>
      <w:r w:rsidRPr="000C7281">
        <w:rPr>
          <w:sz w:val="22"/>
          <w:szCs w:val="22"/>
          <w:lang w:val="id-ID"/>
        </w:rPr>
        <w:t xml:space="preserve"> information such as relating to market demands, prices, class specifications, storage and transportation facilities is required, but the market information has not been managed optimally. Other constraints relate to a lack of product quality control. </w:t>
      </w:r>
      <w:r w:rsidRPr="000C7281">
        <w:rPr>
          <w:sz w:val="22"/>
          <w:szCs w:val="22"/>
        </w:rPr>
        <w:t xml:space="preserve">Access to certification, auditing, quality control and laboratory services may be important to verify these requirements. However, audit and certification of services is expensive because farmers have an inadequate economic scale (Raynolds, 2004). When individual businesses in rural areas have economies of scale efficiency and access to resources, the </w:t>
      </w:r>
      <w:r w:rsidRPr="000C7281">
        <w:rPr>
          <w:sz w:val="22"/>
          <w:szCs w:val="22"/>
          <w:lang w:val="id-ID"/>
        </w:rPr>
        <w:t>rural</w:t>
      </w:r>
      <w:r w:rsidRPr="000C7281">
        <w:rPr>
          <w:sz w:val="22"/>
          <w:szCs w:val="22"/>
        </w:rPr>
        <w:t xml:space="preserve"> economic institutions have a role to improve constraint</w:t>
      </w:r>
      <w:r w:rsidRPr="000C7281">
        <w:rPr>
          <w:sz w:val="22"/>
          <w:szCs w:val="22"/>
          <w:lang w:val="id-ID"/>
        </w:rPr>
        <w:t>s.</w:t>
      </w:r>
    </w:p>
    <w:p w:rsidR="00172522" w:rsidRPr="000C7281" w:rsidRDefault="00172522" w:rsidP="00DC09AC">
      <w:pPr>
        <w:spacing w:after="240"/>
        <w:ind w:firstLine="426"/>
        <w:jc w:val="both"/>
        <w:rPr>
          <w:sz w:val="22"/>
          <w:szCs w:val="22"/>
        </w:rPr>
      </w:pPr>
      <w:r w:rsidRPr="000C7281">
        <w:rPr>
          <w:sz w:val="22"/>
          <w:szCs w:val="22"/>
        </w:rPr>
        <w:lastRenderedPageBreak/>
        <w:t>The capacity of Rural Institutional Managementhad a positive and significant effect on innovation capacity</w:t>
      </w:r>
      <w:r w:rsidRPr="000C7281">
        <w:rPr>
          <w:sz w:val="22"/>
          <w:szCs w:val="22"/>
          <w:lang w:val="id-ID"/>
        </w:rPr>
        <w:t xml:space="preserve">. </w:t>
      </w:r>
      <w:r w:rsidRPr="000C7281">
        <w:rPr>
          <w:sz w:val="22"/>
          <w:szCs w:val="22"/>
        </w:rPr>
        <w:t>The result of the study found that institutional management capacity had a positive and significant effect on capacity for innovation. The finding of significant influence of management capacity on innovation capacitycan be explained by Neoclassical Production Theory (Cantillon, 1755) and Schumpeter's Theory (1934) which suggest the role of management and entrepreneurship in increasing production and markets. This shows that the higher the capacity of management, the more effective it will be in increasing the ability to manage resources (management capacity and entrepreneurship) aiming to raise the accumulation of institutional assets. Many institutions are built to strengthen the position of farmers in the economy, such as: the Association of Farmers' Groups (</w:t>
      </w:r>
      <w:r w:rsidRPr="000C7281">
        <w:rPr>
          <w:i/>
          <w:sz w:val="22"/>
          <w:szCs w:val="22"/>
        </w:rPr>
        <w:t>Gapoktan</w:t>
      </w:r>
      <w:r w:rsidRPr="000C7281">
        <w:rPr>
          <w:sz w:val="22"/>
          <w:szCs w:val="22"/>
        </w:rPr>
        <w:t xml:space="preserve">), and </w:t>
      </w:r>
      <w:r w:rsidRPr="000C7281">
        <w:rPr>
          <w:i/>
          <w:sz w:val="22"/>
          <w:szCs w:val="22"/>
        </w:rPr>
        <w:t>BUMdes</w:t>
      </w:r>
      <w:r w:rsidRPr="000C7281">
        <w:rPr>
          <w:sz w:val="22"/>
          <w:szCs w:val="22"/>
        </w:rPr>
        <w:t xml:space="preserve">. Yet, agricultural institutions and farmers themselves have not nailed their role in overcoming these problems. Some problems, such as ability in group organization, improvement or expansion of farms to the upstream and downstream sectors, marketing and cooperation in increasing bargaining position, inability to manage funds, inability to provide market information and to distribute / market / process the products, low management technical capacity, ability to cooperate, and lack of preparedness in the growth of autonomous businesses. </w:t>
      </w:r>
    </w:p>
    <w:p w:rsidR="002F3FA6" w:rsidRPr="000C7281" w:rsidRDefault="00172522" w:rsidP="00DC09AC">
      <w:pPr>
        <w:spacing w:after="240"/>
        <w:ind w:firstLine="426"/>
        <w:jc w:val="both"/>
        <w:rPr>
          <w:sz w:val="22"/>
          <w:szCs w:val="22"/>
        </w:rPr>
      </w:pPr>
      <w:r w:rsidRPr="000C7281">
        <w:rPr>
          <w:sz w:val="22"/>
          <w:szCs w:val="22"/>
        </w:rPr>
        <w:t>Generally, managers at rural / farmer institutions are selected based on their distinguished roles in society, older people who are respected by the community. They are usually accompanied by the local Program Facilitator and Agricultural Counselor. Those parties are unlikely to have experience in real business activities both in the scope of agricultural production and in marketing agricultural production. This causes limitations in the development of institution strategies (institutional behavior) to deal with market structures, such as the ability to compose partnership proposals, networking, contract-based risk management and business negotiations, financial management to protect people from low harvest and / or increasing prices of high agricultural inputs, market contract-based strategies, production strategies through diversification, geographical distribution, selection of varieties, timeliness, drainage, use of cultivation methods that are most suitable for certain regions, and cooperation with third parties such as insurance agencies.</w:t>
      </w:r>
    </w:p>
    <w:p w:rsidR="00172522" w:rsidRPr="000C7281" w:rsidRDefault="00172522" w:rsidP="00DC09AC">
      <w:pPr>
        <w:spacing w:after="240"/>
        <w:ind w:firstLine="360"/>
        <w:jc w:val="both"/>
        <w:rPr>
          <w:sz w:val="22"/>
          <w:szCs w:val="22"/>
          <w:lang w:val="id-ID"/>
        </w:rPr>
      </w:pPr>
      <w:r w:rsidRPr="000C7281">
        <w:rPr>
          <w:sz w:val="22"/>
          <w:szCs w:val="22"/>
          <w:lang w:val="id-ID"/>
        </w:rPr>
        <w:t xml:space="preserve">Innovation culture had a positive and significant effect on the capacity of innovation.In the Knowledge Era, rural institution not only in the scope of production, but also in marketing, price management, processing of harvests, finance (capital), management of production inputs which are all components of business units in </w:t>
      </w:r>
      <w:r w:rsidR="002F3FA6" w:rsidRPr="000C7281">
        <w:rPr>
          <w:sz w:val="22"/>
          <w:szCs w:val="22"/>
          <w:lang w:val="id-ID"/>
        </w:rPr>
        <w:t>rural</w:t>
      </w:r>
      <w:r w:rsidRPr="000C7281">
        <w:rPr>
          <w:sz w:val="22"/>
          <w:szCs w:val="22"/>
          <w:lang w:val="id-ID"/>
        </w:rPr>
        <w:t xml:space="preserve"> institution. On the other side, Culture of innovation and entrepreneurship in rural communities in Semarang district is likely to be low. On the other hand, farmers / groups who are accustomed to be dependant (by relying on Government funding assistance, information, knowledge and experience of the elder or agricultural counselors). Various schemes of assistance provided do not make farmers more independent; instead they tend to be more dependent on subsidies. Various assistance schemes have also been implemented ranging from subsidies of Production Facilities, Direct Capital Assistance, Farmer Business Loans, and so forth. Yet, the assistances have not produced the desired results. Indonesian farmers have a low income, still. Various assistance provided also cause farmers to become dependent and feel unable to move alone in carrying out their farming. Small-scale business actors in rural areas often lack knowledge about optimal production, post-harvest processing (agriculture, fisheries), processing and storage techniques, especially those related to high-quality products and access of open innovation. Thus, small-scale businesses in rural areas with access to extension services have more ability to adopt new technologies and invest in new market trends, such as quality certification (Asfaw et al, 2010; Muriithi et al, 2011).</w:t>
      </w:r>
    </w:p>
    <w:p w:rsidR="00D73172" w:rsidRPr="000C7281" w:rsidRDefault="00172522" w:rsidP="00DC09AC">
      <w:pPr>
        <w:spacing w:after="240"/>
        <w:ind w:firstLine="360"/>
        <w:jc w:val="both"/>
        <w:rPr>
          <w:sz w:val="22"/>
          <w:szCs w:val="22"/>
        </w:rPr>
      </w:pPr>
      <w:r w:rsidRPr="000C7281">
        <w:rPr>
          <w:sz w:val="22"/>
          <w:szCs w:val="22"/>
        </w:rPr>
        <w:t xml:space="preserve">Knowledge </w:t>
      </w:r>
      <w:r w:rsidRPr="000C7281">
        <w:rPr>
          <w:sz w:val="22"/>
          <w:szCs w:val="22"/>
          <w:lang w:val="id-ID"/>
        </w:rPr>
        <w:t xml:space="preserve">Management </w:t>
      </w:r>
      <w:r w:rsidRPr="000C7281">
        <w:rPr>
          <w:sz w:val="22"/>
          <w:szCs w:val="22"/>
        </w:rPr>
        <w:t xml:space="preserve">had a positive and significant effect on innovation capacity. Research in recent years (Aldakhil and Vonderembse, 2015; Basaglia aet al., 2010, Kim et al., </w:t>
      </w:r>
      <w:r w:rsidRPr="000C7281">
        <w:rPr>
          <w:sz w:val="22"/>
          <w:szCs w:val="22"/>
        </w:rPr>
        <w:lastRenderedPageBreak/>
        <w:t>2011; Hassan et al., 2017), asserted that knowledge management has been considered as a source of competitive advantage and important factors that can positively affect organizational performance, while knowledge integration is an important process in the organization to benefit from knowledge and create competitive advantage. Knowledge integration facilitates sharing of experience and problem solving among innovation stakeholders unlimited to space and time. Wallace (2006) explains that internet technology and information have a major impact on work. The development of information and communication technologies in rural areas in Semarang Regency Indonesia currently provides ease regarding the constraints of "space and time" which has been the determining aspect of speed and the success of rural innovation systems. As to the infrastructure, the use of information technology has reached rural areas, however accessible knowledge management activities have not been optimal. Innovators at the level of economic institutions in rural areas need a knowledge management system that facilitates them in carrying out innovation activities, such as in: choosing innovation-based problem solving, effective technologies, applications for developing innovation proposals, reporting on the use of funds connected with stakeholders (such as : institution facilitators, government institutions, financial institutions, and insurance institutions).</w:t>
      </w:r>
    </w:p>
    <w:p w:rsidR="002F3FA6" w:rsidRPr="000C7281" w:rsidRDefault="002F3FA6" w:rsidP="00DC09AC">
      <w:pPr>
        <w:spacing w:after="240"/>
        <w:ind w:firstLine="360"/>
        <w:jc w:val="both"/>
        <w:rPr>
          <w:sz w:val="22"/>
          <w:szCs w:val="22"/>
        </w:rPr>
      </w:pPr>
    </w:p>
    <w:p w:rsidR="00D73172" w:rsidRPr="000C7281" w:rsidRDefault="00150D16" w:rsidP="00150D16">
      <w:pPr>
        <w:pStyle w:val="Heading1"/>
        <w:numPr>
          <w:ilvl w:val="0"/>
          <w:numId w:val="2"/>
        </w:numPr>
        <w:suppressAutoHyphens/>
        <w:spacing w:after="60"/>
        <w:ind w:left="270" w:hanging="270"/>
        <w:rPr>
          <w:i w:val="0"/>
          <w:sz w:val="22"/>
          <w:szCs w:val="22"/>
        </w:rPr>
      </w:pPr>
      <w:r w:rsidRPr="000C7281">
        <w:rPr>
          <w:i w:val="0"/>
          <w:sz w:val="22"/>
          <w:szCs w:val="22"/>
        </w:rPr>
        <w:t>CONCLUSIONS</w:t>
      </w:r>
    </w:p>
    <w:p w:rsidR="00D73172" w:rsidRPr="000C7281" w:rsidRDefault="00F50430" w:rsidP="00D2462E">
      <w:pPr>
        <w:spacing w:after="240"/>
        <w:ind w:firstLine="360"/>
        <w:jc w:val="both"/>
        <w:rPr>
          <w:sz w:val="22"/>
          <w:szCs w:val="22"/>
        </w:rPr>
      </w:pPr>
      <w:r w:rsidRPr="000C7281">
        <w:rPr>
          <w:sz w:val="22"/>
          <w:szCs w:val="22"/>
        </w:rPr>
        <w:t>Generally, the results of the study found that the factors influencing the capacity of institutional innovation in rural areas were policy and regulation, innovation infrastructure, management capacity, facilitator capacity, innovation culture and knowledge management. The implications of this study are intertwined to the importance of the development of rural economic institutions based on knowledge management, making it easier for innovators (at the level of economic institutions) to conduct rural innovation activities, such as in: choosing innovation-based problem solving, effective technologies, applications for developing innovation proposals, reporting on the use of funds connected with stakeholders (such as : institution facilitators, government institutions, financial institutions, and insurance institutions). In addition, innovative infrastructure support can be also significantly lower transaction costs and improve access to innovation activity.</w:t>
      </w:r>
      <w:r w:rsidR="00BE7B73" w:rsidRPr="000C7281">
        <w:rPr>
          <w:sz w:val="22"/>
          <w:szCs w:val="22"/>
        </w:rPr>
        <w:t>.</w:t>
      </w:r>
    </w:p>
    <w:p w:rsidR="00F22146" w:rsidRPr="000C7281" w:rsidRDefault="00D2462E" w:rsidP="00D2462E">
      <w:pPr>
        <w:pStyle w:val="Heading1"/>
        <w:numPr>
          <w:ilvl w:val="0"/>
          <w:numId w:val="2"/>
        </w:numPr>
        <w:suppressAutoHyphens/>
        <w:spacing w:after="60"/>
        <w:ind w:left="270" w:hanging="270"/>
        <w:rPr>
          <w:i w:val="0"/>
          <w:sz w:val="22"/>
          <w:szCs w:val="22"/>
        </w:rPr>
      </w:pPr>
      <w:r w:rsidRPr="000C7281">
        <w:rPr>
          <w:i w:val="0"/>
          <w:sz w:val="22"/>
          <w:szCs w:val="22"/>
        </w:rPr>
        <w:t>ACKNOWLEDGEMENT</w:t>
      </w:r>
    </w:p>
    <w:p w:rsidR="00F22146" w:rsidRPr="000C7281" w:rsidRDefault="00DC09AC" w:rsidP="001D4F7A">
      <w:pPr>
        <w:spacing w:after="240"/>
        <w:ind w:firstLine="360"/>
        <w:jc w:val="both"/>
        <w:rPr>
          <w:sz w:val="22"/>
          <w:szCs w:val="22"/>
          <w:lang w:val="id-ID"/>
        </w:rPr>
      </w:pPr>
      <w:r w:rsidRPr="000C7281">
        <w:rPr>
          <w:sz w:val="22"/>
          <w:szCs w:val="22"/>
          <w:lang w:val="id-ID"/>
        </w:rPr>
        <w:t>The authors thank the Research and Community Service Institute of UNDARIS University who helpful this study and reviews on an earlier version of this manuscript.</w:t>
      </w:r>
    </w:p>
    <w:p w:rsidR="004563FB" w:rsidRPr="000C7281" w:rsidRDefault="004563FB" w:rsidP="001D4F7A">
      <w:pPr>
        <w:spacing w:after="240"/>
        <w:ind w:firstLine="360"/>
        <w:jc w:val="both"/>
        <w:rPr>
          <w:sz w:val="22"/>
          <w:szCs w:val="22"/>
        </w:rPr>
      </w:pPr>
    </w:p>
    <w:p w:rsidR="00D73172" w:rsidRPr="000C7281" w:rsidRDefault="006D53CE" w:rsidP="006D53CE">
      <w:pPr>
        <w:pStyle w:val="Heading1"/>
        <w:numPr>
          <w:ilvl w:val="0"/>
          <w:numId w:val="2"/>
        </w:numPr>
        <w:suppressAutoHyphens/>
        <w:spacing w:after="60"/>
        <w:ind w:left="270" w:hanging="270"/>
        <w:rPr>
          <w:i w:val="0"/>
          <w:sz w:val="22"/>
          <w:szCs w:val="22"/>
        </w:rPr>
      </w:pPr>
      <w:r w:rsidRPr="000C7281">
        <w:rPr>
          <w:i w:val="0"/>
          <w:sz w:val="22"/>
          <w:szCs w:val="22"/>
        </w:rPr>
        <w:t>REFERENCES</w:t>
      </w:r>
    </w:p>
    <w:p w:rsidR="00F50430" w:rsidRPr="000C7281" w:rsidRDefault="00F50430" w:rsidP="00F50430">
      <w:pPr>
        <w:pStyle w:val="ListParagraph"/>
        <w:widowControl w:val="0"/>
        <w:numPr>
          <w:ilvl w:val="0"/>
          <w:numId w:val="12"/>
        </w:numPr>
        <w:autoSpaceDE w:val="0"/>
        <w:autoSpaceDN w:val="0"/>
        <w:adjustRightInd w:val="0"/>
        <w:spacing w:after="240"/>
        <w:ind w:left="426"/>
        <w:contextualSpacing w:val="0"/>
        <w:jc w:val="both"/>
        <w:rPr>
          <w:rStyle w:val="Hyperlink"/>
          <w:rFonts w:eastAsia="Calibri"/>
          <w:color w:val="auto"/>
          <w:sz w:val="22"/>
          <w:szCs w:val="22"/>
        </w:rPr>
      </w:pPr>
      <w:r w:rsidRPr="000C7281">
        <w:rPr>
          <w:rFonts w:eastAsia="Calibri"/>
          <w:sz w:val="22"/>
          <w:szCs w:val="22"/>
        </w:rPr>
        <w:t xml:space="preserve">Aldakhil, A. Vonderembse. M. A.  (2015) Relationship Between Quality Management Practices and Knowledge Integration and Its Impact On New Product development Performance. </w:t>
      </w:r>
      <w:hyperlink r:id="rId14" w:history="1">
        <w:r w:rsidRPr="000C7281">
          <w:rPr>
            <w:rStyle w:val="Hyperlink"/>
            <w:rFonts w:eastAsia="Calibri"/>
            <w:color w:val="auto"/>
            <w:sz w:val="22"/>
            <w:szCs w:val="22"/>
          </w:rPr>
          <w:t>https://www.researchgate.net/publication/237727726</w:t>
        </w:r>
      </w:hyperlink>
    </w:p>
    <w:p w:rsidR="00F50430" w:rsidRPr="000C7281" w:rsidRDefault="00F50430" w:rsidP="00F50430">
      <w:pPr>
        <w:pStyle w:val="ListParagraph"/>
        <w:widowControl w:val="0"/>
        <w:numPr>
          <w:ilvl w:val="0"/>
          <w:numId w:val="12"/>
        </w:numPr>
        <w:autoSpaceDE w:val="0"/>
        <w:autoSpaceDN w:val="0"/>
        <w:adjustRightInd w:val="0"/>
        <w:spacing w:after="240"/>
        <w:ind w:left="426"/>
        <w:contextualSpacing w:val="0"/>
        <w:jc w:val="both"/>
        <w:rPr>
          <w:rFonts w:eastAsia="Calibri"/>
          <w:sz w:val="22"/>
          <w:szCs w:val="22"/>
        </w:rPr>
      </w:pPr>
      <w:r w:rsidRPr="000C7281">
        <w:rPr>
          <w:rFonts w:eastAsia="Calibri"/>
          <w:sz w:val="22"/>
          <w:szCs w:val="22"/>
        </w:rPr>
        <w:t>Asfaw, S., Mithöfer, D. and Waibel, H., 2010. What impact are EU supermarket standards havingon developing countries’ export of high-value horticultural products? Evidence From Kenya.</w:t>
      </w:r>
      <w:r w:rsidRPr="000C7281">
        <w:rPr>
          <w:rFonts w:eastAsia="Calibri"/>
          <w:i/>
          <w:sz w:val="22"/>
          <w:szCs w:val="22"/>
        </w:rPr>
        <w:t xml:space="preserve">Journal of International Food and Agribusiness Marketing </w:t>
      </w:r>
      <w:r w:rsidRPr="000C7281">
        <w:rPr>
          <w:rFonts w:eastAsia="Calibri"/>
          <w:sz w:val="22"/>
          <w:szCs w:val="22"/>
        </w:rPr>
        <w:t>22: 252-276.</w:t>
      </w:r>
    </w:p>
    <w:p w:rsidR="00F50430" w:rsidRPr="000C7281" w:rsidRDefault="00F50430" w:rsidP="00F50430">
      <w:pPr>
        <w:pStyle w:val="ListParagraph"/>
        <w:widowControl w:val="0"/>
        <w:numPr>
          <w:ilvl w:val="0"/>
          <w:numId w:val="12"/>
        </w:numPr>
        <w:autoSpaceDE w:val="0"/>
        <w:autoSpaceDN w:val="0"/>
        <w:adjustRightInd w:val="0"/>
        <w:spacing w:after="240"/>
        <w:ind w:left="426" w:hanging="426"/>
        <w:contextualSpacing w:val="0"/>
        <w:jc w:val="both"/>
        <w:rPr>
          <w:rFonts w:eastAsia="Calibri"/>
          <w:sz w:val="22"/>
          <w:szCs w:val="22"/>
        </w:rPr>
      </w:pPr>
      <w:r w:rsidRPr="000C7281">
        <w:rPr>
          <w:rFonts w:eastAsia="Calibri"/>
          <w:sz w:val="22"/>
          <w:szCs w:val="22"/>
        </w:rPr>
        <w:t>Bappeda Kabupaten Semarang, 2016</w:t>
      </w:r>
      <w:r w:rsidRPr="000C7281">
        <w:rPr>
          <w:rFonts w:eastAsia="Calibri"/>
          <w:sz w:val="22"/>
          <w:szCs w:val="22"/>
          <w:lang w:val="id-ID"/>
        </w:rPr>
        <w:t xml:space="preserve">. </w:t>
      </w:r>
      <w:r w:rsidRPr="000C7281">
        <w:rPr>
          <w:rFonts w:eastAsia="Calibri"/>
          <w:i/>
          <w:sz w:val="22"/>
          <w:szCs w:val="22"/>
          <w:lang w:val="id-ID"/>
        </w:rPr>
        <w:t>Paparan Workshop SIDA Kabupaten Semarang</w:t>
      </w:r>
      <w:r w:rsidRPr="000C7281">
        <w:rPr>
          <w:rFonts w:eastAsia="Calibri"/>
          <w:sz w:val="22"/>
          <w:szCs w:val="22"/>
          <w:lang w:val="id-ID"/>
        </w:rPr>
        <w:t>.</w:t>
      </w:r>
    </w:p>
    <w:p w:rsidR="00F50430" w:rsidRPr="000C7281" w:rsidRDefault="00F50430" w:rsidP="00F50430">
      <w:pPr>
        <w:pStyle w:val="ListParagraph"/>
        <w:widowControl w:val="0"/>
        <w:numPr>
          <w:ilvl w:val="0"/>
          <w:numId w:val="12"/>
        </w:numPr>
        <w:autoSpaceDE w:val="0"/>
        <w:autoSpaceDN w:val="0"/>
        <w:adjustRightInd w:val="0"/>
        <w:spacing w:after="240"/>
        <w:ind w:left="426" w:hanging="426"/>
        <w:contextualSpacing w:val="0"/>
        <w:jc w:val="both"/>
        <w:rPr>
          <w:rFonts w:eastAsia="Calibri"/>
          <w:sz w:val="22"/>
          <w:szCs w:val="22"/>
        </w:rPr>
      </w:pPr>
      <w:r w:rsidRPr="000C7281">
        <w:rPr>
          <w:sz w:val="22"/>
          <w:szCs w:val="22"/>
        </w:rPr>
        <w:t>Bardhan</w:t>
      </w:r>
      <w:r w:rsidRPr="000C7281">
        <w:rPr>
          <w:sz w:val="22"/>
          <w:szCs w:val="22"/>
          <w:lang w:val="id-ID"/>
        </w:rPr>
        <w:t>, P.</w:t>
      </w:r>
      <w:r w:rsidRPr="000C7281">
        <w:rPr>
          <w:sz w:val="22"/>
          <w:szCs w:val="22"/>
        </w:rPr>
        <w:t xml:space="preserve"> 1989</w:t>
      </w:r>
      <w:r w:rsidRPr="000C7281">
        <w:rPr>
          <w:sz w:val="22"/>
          <w:szCs w:val="22"/>
          <w:lang w:val="id-ID"/>
        </w:rPr>
        <w:t xml:space="preserve">. The New Institutional Economics and Development Theory: A Brief </w:t>
      </w:r>
      <w:r w:rsidRPr="000C7281">
        <w:rPr>
          <w:sz w:val="22"/>
          <w:szCs w:val="22"/>
          <w:lang w:val="id-ID"/>
        </w:rPr>
        <w:lastRenderedPageBreak/>
        <w:t xml:space="preserve">Critical Assessment. </w:t>
      </w:r>
      <w:r w:rsidRPr="000C7281">
        <w:rPr>
          <w:i/>
          <w:sz w:val="22"/>
          <w:szCs w:val="22"/>
          <w:lang w:val="id-ID"/>
        </w:rPr>
        <w:t>World Development</w:t>
      </w:r>
      <w:r w:rsidRPr="000C7281">
        <w:rPr>
          <w:sz w:val="22"/>
          <w:szCs w:val="22"/>
          <w:lang w:val="id-ID"/>
        </w:rPr>
        <w:t>, 17(9), 1389-1395</w:t>
      </w:r>
    </w:p>
    <w:p w:rsidR="00F50430" w:rsidRPr="000C7281" w:rsidRDefault="00F50430" w:rsidP="00F50430">
      <w:pPr>
        <w:pStyle w:val="ListParagraph"/>
        <w:widowControl w:val="0"/>
        <w:numPr>
          <w:ilvl w:val="0"/>
          <w:numId w:val="12"/>
        </w:numPr>
        <w:autoSpaceDE w:val="0"/>
        <w:autoSpaceDN w:val="0"/>
        <w:adjustRightInd w:val="0"/>
        <w:spacing w:after="240"/>
        <w:ind w:left="426" w:hanging="426"/>
        <w:contextualSpacing w:val="0"/>
        <w:jc w:val="both"/>
        <w:rPr>
          <w:rFonts w:eastAsia="Calibri"/>
          <w:sz w:val="22"/>
          <w:szCs w:val="22"/>
        </w:rPr>
      </w:pPr>
      <w:r w:rsidRPr="000C7281">
        <w:rPr>
          <w:sz w:val="22"/>
          <w:szCs w:val="22"/>
        </w:rPr>
        <w:t xml:space="preserve">Barrett, C.B., </w:t>
      </w:r>
      <w:r w:rsidRPr="000C7281">
        <w:rPr>
          <w:sz w:val="22"/>
          <w:szCs w:val="22"/>
          <w:lang w:val="en-ID"/>
        </w:rPr>
        <w:t>(</w:t>
      </w:r>
      <w:r w:rsidRPr="000C7281">
        <w:rPr>
          <w:sz w:val="22"/>
          <w:szCs w:val="22"/>
        </w:rPr>
        <w:t>2008</w:t>
      </w:r>
      <w:r w:rsidRPr="000C7281">
        <w:rPr>
          <w:sz w:val="22"/>
          <w:szCs w:val="22"/>
          <w:lang w:val="en-ID"/>
        </w:rPr>
        <w:t>)</w:t>
      </w:r>
      <w:r w:rsidRPr="000C7281">
        <w:rPr>
          <w:sz w:val="22"/>
          <w:szCs w:val="22"/>
        </w:rPr>
        <w:t xml:space="preserve">. Smallholder market participation: concepts and evidence from eastern and southern Africa. </w:t>
      </w:r>
      <w:r w:rsidRPr="000C7281">
        <w:rPr>
          <w:i/>
          <w:sz w:val="22"/>
          <w:szCs w:val="22"/>
        </w:rPr>
        <w:t>Food Policy</w:t>
      </w:r>
      <w:r w:rsidRPr="000C7281">
        <w:rPr>
          <w:sz w:val="22"/>
          <w:szCs w:val="22"/>
          <w:lang w:val="en-ID"/>
        </w:rPr>
        <w:t>,</w:t>
      </w:r>
      <w:r w:rsidRPr="000C7281">
        <w:rPr>
          <w:sz w:val="22"/>
          <w:szCs w:val="22"/>
        </w:rPr>
        <w:t xml:space="preserve"> 33</w:t>
      </w:r>
      <w:r w:rsidRPr="000C7281">
        <w:rPr>
          <w:sz w:val="22"/>
          <w:szCs w:val="22"/>
          <w:lang w:val="en-ID"/>
        </w:rPr>
        <w:t>,</w:t>
      </w:r>
      <w:r w:rsidRPr="000C7281">
        <w:rPr>
          <w:sz w:val="22"/>
          <w:szCs w:val="22"/>
        </w:rPr>
        <w:t xml:space="preserve"> 299-317.</w:t>
      </w:r>
    </w:p>
    <w:p w:rsidR="00F50430" w:rsidRPr="000C7281" w:rsidRDefault="00F50430" w:rsidP="00F50430">
      <w:pPr>
        <w:pStyle w:val="ListParagraph"/>
        <w:widowControl w:val="0"/>
        <w:numPr>
          <w:ilvl w:val="0"/>
          <w:numId w:val="12"/>
        </w:numPr>
        <w:autoSpaceDE w:val="0"/>
        <w:autoSpaceDN w:val="0"/>
        <w:adjustRightInd w:val="0"/>
        <w:spacing w:after="240"/>
        <w:ind w:left="392" w:hanging="392"/>
        <w:contextualSpacing w:val="0"/>
        <w:jc w:val="both"/>
        <w:rPr>
          <w:rFonts w:eastAsia="Calibri"/>
          <w:sz w:val="22"/>
          <w:szCs w:val="22"/>
        </w:rPr>
      </w:pPr>
      <w:r w:rsidRPr="000C7281">
        <w:rPr>
          <w:sz w:val="22"/>
          <w:szCs w:val="22"/>
        </w:rPr>
        <w:t xml:space="preserve">Basagliaa, S., Caporarello, L., Magni, M., Pennarola, F., </w:t>
      </w:r>
      <w:r w:rsidRPr="000C7281">
        <w:rPr>
          <w:sz w:val="22"/>
          <w:szCs w:val="22"/>
          <w:lang w:val="id-ID"/>
        </w:rPr>
        <w:t>(</w:t>
      </w:r>
      <w:r w:rsidRPr="000C7281">
        <w:rPr>
          <w:sz w:val="22"/>
          <w:szCs w:val="22"/>
        </w:rPr>
        <w:t>2010</w:t>
      </w:r>
      <w:r w:rsidRPr="000C7281">
        <w:rPr>
          <w:sz w:val="22"/>
          <w:szCs w:val="22"/>
          <w:lang w:val="id-ID"/>
        </w:rPr>
        <w:t>)</w:t>
      </w:r>
      <w:r w:rsidRPr="000C7281">
        <w:rPr>
          <w:sz w:val="22"/>
          <w:szCs w:val="22"/>
        </w:rPr>
        <w:t xml:space="preserve"> knowledge integration capability and team performance. </w:t>
      </w:r>
      <w:r w:rsidRPr="000C7281">
        <w:rPr>
          <w:i/>
          <w:sz w:val="22"/>
          <w:szCs w:val="22"/>
        </w:rPr>
        <w:t>International Journal of Information Management</w:t>
      </w:r>
      <w:r w:rsidRPr="000C7281">
        <w:rPr>
          <w:sz w:val="22"/>
          <w:szCs w:val="22"/>
        </w:rPr>
        <w:t xml:space="preserve"> 30 (2010), 542–551</w:t>
      </w:r>
    </w:p>
    <w:p w:rsidR="00F50430" w:rsidRPr="000C7281" w:rsidRDefault="00F50430" w:rsidP="00F50430">
      <w:pPr>
        <w:pStyle w:val="ListParagraph"/>
        <w:widowControl w:val="0"/>
        <w:numPr>
          <w:ilvl w:val="0"/>
          <w:numId w:val="12"/>
        </w:numPr>
        <w:autoSpaceDE w:val="0"/>
        <w:autoSpaceDN w:val="0"/>
        <w:adjustRightInd w:val="0"/>
        <w:spacing w:after="240"/>
        <w:ind w:left="392" w:hanging="392"/>
        <w:contextualSpacing w:val="0"/>
        <w:jc w:val="both"/>
        <w:rPr>
          <w:rFonts w:eastAsia="Calibri"/>
          <w:sz w:val="22"/>
          <w:szCs w:val="22"/>
        </w:rPr>
      </w:pPr>
      <w:r w:rsidRPr="000C7281">
        <w:rPr>
          <w:rFonts w:eastAsia="Calibri"/>
          <w:sz w:val="22"/>
          <w:szCs w:val="22"/>
        </w:rPr>
        <w:t xml:space="preserve">Berdegué, J.A., Balsevich, F., Flores, L. and Reardon, T., 2005. Central American supermarkets’private standards of quality and safety in procurement of fresh fruits and vegetables. </w:t>
      </w:r>
      <w:r w:rsidRPr="000C7281">
        <w:rPr>
          <w:rFonts w:eastAsia="Calibri"/>
          <w:i/>
          <w:sz w:val="22"/>
          <w:szCs w:val="22"/>
        </w:rPr>
        <w:t>Food Policy</w:t>
      </w:r>
      <w:r w:rsidRPr="000C7281">
        <w:rPr>
          <w:rFonts w:eastAsia="Calibri"/>
          <w:sz w:val="22"/>
          <w:szCs w:val="22"/>
        </w:rPr>
        <w:t xml:space="preserve"> 30: 254-269.</w:t>
      </w:r>
    </w:p>
    <w:p w:rsidR="00F50430" w:rsidRPr="000C7281" w:rsidRDefault="00F50430" w:rsidP="00F50430">
      <w:pPr>
        <w:pStyle w:val="ListParagraph"/>
        <w:widowControl w:val="0"/>
        <w:numPr>
          <w:ilvl w:val="0"/>
          <w:numId w:val="12"/>
        </w:numPr>
        <w:autoSpaceDE w:val="0"/>
        <w:autoSpaceDN w:val="0"/>
        <w:adjustRightInd w:val="0"/>
        <w:spacing w:after="240"/>
        <w:ind w:left="392" w:hanging="392"/>
        <w:contextualSpacing w:val="0"/>
        <w:jc w:val="both"/>
        <w:rPr>
          <w:rFonts w:eastAsia="Calibri"/>
          <w:sz w:val="22"/>
          <w:szCs w:val="22"/>
        </w:rPr>
      </w:pPr>
      <w:r w:rsidRPr="000C7281">
        <w:rPr>
          <w:sz w:val="22"/>
          <w:szCs w:val="22"/>
          <w:lang w:val="id-ID"/>
        </w:rPr>
        <w:t xml:space="preserve">BPPT, 2013. </w:t>
      </w:r>
      <w:r w:rsidRPr="000C7281">
        <w:rPr>
          <w:i/>
          <w:sz w:val="22"/>
          <w:szCs w:val="22"/>
          <w:lang w:val="id-ID"/>
        </w:rPr>
        <w:t>Naskah Akademik Buku Putih Penguatan Sistem Inovasi Nasional</w:t>
      </w:r>
      <w:r w:rsidRPr="000C7281">
        <w:rPr>
          <w:sz w:val="22"/>
          <w:szCs w:val="22"/>
          <w:lang w:val="id-ID"/>
        </w:rPr>
        <w:t>. Jakarta: Deputi Bidang Pengkajian Kebijakan Teknologi Badan Pengkajian dan Penerapan Teknologi.</w:t>
      </w:r>
    </w:p>
    <w:p w:rsidR="00F50430" w:rsidRPr="000C7281" w:rsidRDefault="00F50430" w:rsidP="00F50430">
      <w:pPr>
        <w:pStyle w:val="ListParagraph"/>
        <w:widowControl w:val="0"/>
        <w:numPr>
          <w:ilvl w:val="0"/>
          <w:numId w:val="12"/>
        </w:numPr>
        <w:autoSpaceDE w:val="0"/>
        <w:autoSpaceDN w:val="0"/>
        <w:adjustRightInd w:val="0"/>
        <w:spacing w:after="240"/>
        <w:ind w:left="392" w:hanging="392"/>
        <w:contextualSpacing w:val="0"/>
        <w:jc w:val="both"/>
        <w:rPr>
          <w:rFonts w:eastAsia="Calibri"/>
          <w:sz w:val="22"/>
          <w:szCs w:val="22"/>
        </w:rPr>
      </w:pPr>
      <w:r w:rsidRPr="000C7281">
        <w:rPr>
          <w:sz w:val="22"/>
          <w:szCs w:val="22"/>
          <w:lang w:val="id-ID"/>
        </w:rPr>
        <w:t xml:space="preserve">BPS, 2016. </w:t>
      </w:r>
      <w:r w:rsidRPr="000C7281">
        <w:rPr>
          <w:i/>
          <w:sz w:val="22"/>
          <w:szCs w:val="22"/>
          <w:lang w:val="id-ID"/>
        </w:rPr>
        <w:t>Kabupaten Semarang dalam Angka 2015</w:t>
      </w:r>
      <w:r w:rsidRPr="000C7281">
        <w:rPr>
          <w:sz w:val="22"/>
          <w:szCs w:val="22"/>
          <w:lang w:val="id-ID"/>
        </w:rPr>
        <w:t>. Badan Pusat Statistik.</w:t>
      </w:r>
    </w:p>
    <w:p w:rsidR="00F50430" w:rsidRPr="000C7281" w:rsidRDefault="00F50430" w:rsidP="00F50430">
      <w:pPr>
        <w:pStyle w:val="ListParagraph"/>
        <w:widowControl w:val="0"/>
        <w:numPr>
          <w:ilvl w:val="0"/>
          <w:numId w:val="12"/>
        </w:numPr>
        <w:autoSpaceDE w:val="0"/>
        <w:autoSpaceDN w:val="0"/>
        <w:adjustRightInd w:val="0"/>
        <w:spacing w:after="240"/>
        <w:ind w:left="392" w:hanging="392"/>
        <w:contextualSpacing w:val="0"/>
        <w:jc w:val="both"/>
        <w:rPr>
          <w:rFonts w:eastAsia="Calibri"/>
          <w:sz w:val="22"/>
          <w:szCs w:val="22"/>
        </w:rPr>
      </w:pPr>
      <w:r w:rsidRPr="000C7281">
        <w:rPr>
          <w:sz w:val="22"/>
          <w:szCs w:val="22"/>
          <w:lang w:val="id-ID"/>
        </w:rPr>
        <w:t xml:space="preserve">Brillyanes dan Wilopo, 2017. Regional Innovation System In Rural Areas And The Role Of Smes As Countermeasure For Poverty: A Case In East Java, Indonesia. </w:t>
      </w:r>
      <w:r w:rsidRPr="000C7281">
        <w:rPr>
          <w:i/>
          <w:sz w:val="22"/>
          <w:szCs w:val="22"/>
          <w:lang w:val="id-ID"/>
        </w:rPr>
        <w:t>RJOAS</w:t>
      </w:r>
      <w:r w:rsidRPr="000C7281">
        <w:rPr>
          <w:sz w:val="22"/>
          <w:szCs w:val="22"/>
          <w:lang w:val="id-ID"/>
        </w:rPr>
        <w:t>, 6(66), 215-223</w:t>
      </w:r>
    </w:p>
    <w:p w:rsidR="00F50430" w:rsidRPr="000C7281" w:rsidRDefault="00F50430" w:rsidP="00F50430">
      <w:pPr>
        <w:pStyle w:val="ListParagraph"/>
        <w:widowControl w:val="0"/>
        <w:numPr>
          <w:ilvl w:val="0"/>
          <w:numId w:val="12"/>
        </w:numPr>
        <w:autoSpaceDE w:val="0"/>
        <w:autoSpaceDN w:val="0"/>
        <w:adjustRightInd w:val="0"/>
        <w:spacing w:after="240"/>
        <w:ind w:left="392" w:hanging="392"/>
        <w:contextualSpacing w:val="0"/>
        <w:jc w:val="both"/>
        <w:rPr>
          <w:sz w:val="22"/>
          <w:szCs w:val="22"/>
        </w:rPr>
      </w:pPr>
      <w:r w:rsidRPr="000C7281">
        <w:rPr>
          <w:rFonts w:eastAsia="Calibri"/>
          <w:sz w:val="22"/>
          <w:szCs w:val="22"/>
        </w:rPr>
        <w:t>Coase, R. H. (1937). The nature of the firm. </w:t>
      </w:r>
      <w:r w:rsidRPr="000C7281">
        <w:rPr>
          <w:rFonts w:eastAsia="Calibri"/>
          <w:i/>
          <w:sz w:val="22"/>
          <w:szCs w:val="22"/>
          <w:lang w:val="en-ID"/>
        </w:rPr>
        <w:t>E</w:t>
      </w:r>
      <w:r w:rsidRPr="000C7281">
        <w:rPr>
          <w:rFonts w:eastAsia="Calibri"/>
          <w:i/>
          <w:sz w:val="22"/>
          <w:szCs w:val="22"/>
        </w:rPr>
        <w:t>conomica</w:t>
      </w:r>
      <w:r w:rsidRPr="000C7281">
        <w:rPr>
          <w:rFonts w:eastAsia="Calibri"/>
          <w:sz w:val="22"/>
          <w:szCs w:val="22"/>
        </w:rPr>
        <w:t>, 4(16), 386-405.</w:t>
      </w:r>
    </w:p>
    <w:p w:rsidR="00F50430" w:rsidRPr="000C7281" w:rsidRDefault="00F50430" w:rsidP="00F50430">
      <w:pPr>
        <w:pStyle w:val="ListParagraph"/>
        <w:widowControl w:val="0"/>
        <w:numPr>
          <w:ilvl w:val="0"/>
          <w:numId w:val="12"/>
        </w:numPr>
        <w:autoSpaceDE w:val="0"/>
        <w:autoSpaceDN w:val="0"/>
        <w:adjustRightInd w:val="0"/>
        <w:spacing w:after="240"/>
        <w:ind w:left="392" w:hanging="392"/>
        <w:contextualSpacing w:val="0"/>
        <w:jc w:val="both"/>
        <w:rPr>
          <w:rFonts w:eastAsia="Calibri"/>
          <w:sz w:val="22"/>
          <w:szCs w:val="22"/>
        </w:rPr>
      </w:pPr>
      <w:r w:rsidRPr="000C7281">
        <w:rPr>
          <w:sz w:val="22"/>
          <w:szCs w:val="22"/>
        </w:rPr>
        <w:t xml:space="preserve">Dorward, A., Poole, N., Morrison, J., Kydd, J. </w:t>
      </w:r>
      <w:r w:rsidRPr="000C7281">
        <w:rPr>
          <w:sz w:val="22"/>
          <w:szCs w:val="22"/>
          <w:lang w:val="en-ID"/>
        </w:rPr>
        <w:t>&amp;</w:t>
      </w:r>
      <w:r w:rsidRPr="000C7281">
        <w:rPr>
          <w:sz w:val="22"/>
          <w:szCs w:val="22"/>
        </w:rPr>
        <w:t xml:space="preserve"> Urey, I., </w:t>
      </w:r>
      <w:r w:rsidRPr="000C7281">
        <w:rPr>
          <w:sz w:val="22"/>
          <w:szCs w:val="22"/>
          <w:lang w:val="en-ID"/>
        </w:rPr>
        <w:t>(</w:t>
      </w:r>
      <w:r w:rsidRPr="000C7281">
        <w:rPr>
          <w:sz w:val="22"/>
          <w:szCs w:val="22"/>
        </w:rPr>
        <w:t>2003</w:t>
      </w:r>
      <w:r w:rsidRPr="000C7281">
        <w:rPr>
          <w:sz w:val="22"/>
          <w:szCs w:val="22"/>
          <w:lang w:val="en-ID"/>
        </w:rPr>
        <w:t>)</w:t>
      </w:r>
      <w:r w:rsidRPr="000C7281">
        <w:rPr>
          <w:sz w:val="22"/>
          <w:szCs w:val="22"/>
        </w:rPr>
        <w:t xml:space="preserve">. Markets, institutions and technology: missing links in livelihoods analysis. </w:t>
      </w:r>
      <w:r w:rsidRPr="000C7281">
        <w:rPr>
          <w:i/>
          <w:sz w:val="22"/>
          <w:szCs w:val="22"/>
        </w:rPr>
        <w:t>Development Policy Review</w:t>
      </w:r>
      <w:r w:rsidRPr="000C7281">
        <w:rPr>
          <w:i/>
          <w:sz w:val="22"/>
          <w:szCs w:val="22"/>
          <w:lang w:val="en-ID"/>
        </w:rPr>
        <w:t>,</w:t>
      </w:r>
      <w:r w:rsidRPr="000C7281">
        <w:rPr>
          <w:sz w:val="22"/>
          <w:szCs w:val="22"/>
        </w:rPr>
        <w:t xml:space="preserve"> 21, 319-332.</w:t>
      </w:r>
    </w:p>
    <w:p w:rsidR="00F50430" w:rsidRPr="000C7281" w:rsidRDefault="00F50430" w:rsidP="00F50430">
      <w:pPr>
        <w:pStyle w:val="ListParagraph"/>
        <w:widowControl w:val="0"/>
        <w:numPr>
          <w:ilvl w:val="0"/>
          <w:numId w:val="12"/>
        </w:numPr>
        <w:autoSpaceDE w:val="0"/>
        <w:autoSpaceDN w:val="0"/>
        <w:adjustRightInd w:val="0"/>
        <w:spacing w:after="240"/>
        <w:ind w:left="392" w:hanging="392"/>
        <w:contextualSpacing w:val="0"/>
        <w:jc w:val="both"/>
        <w:rPr>
          <w:rFonts w:eastAsia="Calibri"/>
          <w:sz w:val="22"/>
          <w:szCs w:val="22"/>
        </w:rPr>
      </w:pPr>
      <w:r w:rsidRPr="000C7281">
        <w:rPr>
          <w:sz w:val="22"/>
          <w:szCs w:val="22"/>
        </w:rPr>
        <w:t xml:space="preserve">Grant, R. M. (1996a). Prospering in dynamically competitive environments: Organizational capability as knowledge integration. </w:t>
      </w:r>
      <w:r w:rsidRPr="000C7281">
        <w:rPr>
          <w:i/>
          <w:sz w:val="22"/>
          <w:szCs w:val="22"/>
        </w:rPr>
        <w:t>Organization Science</w:t>
      </w:r>
      <w:r w:rsidRPr="000C7281">
        <w:rPr>
          <w:sz w:val="22"/>
          <w:szCs w:val="22"/>
        </w:rPr>
        <w:t>, 7(4), 375–387.</w:t>
      </w:r>
    </w:p>
    <w:p w:rsidR="00F50430" w:rsidRPr="000C7281" w:rsidRDefault="00F50430" w:rsidP="00F50430">
      <w:pPr>
        <w:pStyle w:val="ListParagraph"/>
        <w:widowControl w:val="0"/>
        <w:numPr>
          <w:ilvl w:val="0"/>
          <w:numId w:val="12"/>
        </w:numPr>
        <w:autoSpaceDE w:val="0"/>
        <w:autoSpaceDN w:val="0"/>
        <w:adjustRightInd w:val="0"/>
        <w:spacing w:after="240"/>
        <w:ind w:left="392" w:hanging="392"/>
        <w:contextualSpacing w:val="0"/>
        <w:jc w:val="both"/>
        <w:rPr>
          <w:rFonts w:eastAsia="Calibri"/>
          <w:sz w:val="22"/>
          <w:szCs w:val="22"/>
        </w:rPr>
      </w:pPr>
      <w:r w:rsidRPr="000C7281">
        <w:rPr>
          <w:sz w:val="22"/>
          <w:szCs w:val="22"/>
        </w:rPr>
        <w:t>Grant, R. M.  (1996b). Towards a knowledge-based theory of the firm</w:t>
      </w:r>
      <w:r w:rsidRPr="000C7281">
        <w:rPr>
          <w:i/>
          <w:sz w:val="22"/>
          <w:szCs w:val="22"/>
        </w:rPr>
        <w:t>. Strategic Management Journal</w:t>
      </w:r>
      <w:r w:rsidRPr="000C7281">
        <w:rPr>
          <w:sz w:val="22"/>
          <w:szCs w:val="22"/>
        </w:rPr>
        <w:t>, 17, 109–122.</w:t>
      </w:r>
    </w:p>
    <w:p w:rsidR="00F50430" w:rsidRPr="000C7281" w:rsidRDefault="00F50430" w:rsidP="00F50430">
      <w:pPr>
        <w:pStyle w:val="ListParagraph"/>
        <w:widowControl w:val="0"/>
        <w:numPr>
          <w:ilvl w:val="0"/>
          <w:numId w:val="12"/>
        </w:numPr>
        <w:autoSpaceDE w:val="0"/>
        <w:autoSpaceDN w:val="0"/>
        <w:adjustRightInd w:val="0"/>
        <w:spacing w:after="240"/>
        <w:ind w:left="392" w:hanging="392"/>
        <w:contextualSpacing w:val="0"/>
        <w:jc w:val="both"/>
        <w:rPr>
          <w:rFonts w:eastAsia="Calibri"/>
          <w:sz w:val="22"/>
          <w:szCs w:val="22"/>
        </w:rPr>
      </w:pPr>
      <w:r w:rsidRPr="000C7281">
        <w:rPr>
          <w:rFonts w:eastAsia="Calibri"/>
          <w:sz w:val="22"/>
          <w:szCs w:val="22"/>
        </w:rPr>
        <w:t xml:space="preserve">Hassan, M., Mukhtar, A., Qureshi, S.U., Sharif, S. (2012). Impact of QMP Practices on Firm’s Performance ofPakistan’s Manufacturing Organizations. International </w:t>
      </w:r>
      <w:r w:rsidRPr="000C7281">
        <w:rPr>
          <w:rFonts w:eastAsia="Calibri"/>
          <w:i/>
          <w:sz w:val="22"/>
          <w:szCs w:val="22"/>
        </w:rPr>
        <w:t>Journal of Academic Research in Business and Social Sciences</w:t>
      </w:r>
      <w:r w:rsidRPr="000C7281">
        <w:rPr>
          <w:rFonts w:eastAsia="Calibri"/>
          <w:sz w:val="22"/>
          <w:szCs w:val="22"/>
        </w:rPr>
        <w:t xml:space="preserve">, </w:t>
      </w:r>
      <w:r w:rsidRPr="000C7281">
        <w:rPr>
          <w:rFonts w:eastAsia="Calibri"/>
          <w:sz w:val="22"/>
          <w:szCs w:val="22"/>
          <w:lang w:val="id-ID"/>
        </w:rPr>
        <w:t>2(10)</w:t>
      </w:r>
      <w:r w:rsidRPr="000C7281">
        <w:rPr>
          <w:rFonts w:eastAsia="Calibri"/>
          <w:sz w:val="22"/>
          <w:szCs w:val="22"/>
        </w:rPr>
        <w:t>, 232-259</w:t>
      </w:r>
    </w:p>
    <w:p w:rsidR="00F50430" w:rsidRPr="000C7281" w:rsidRDefault="00F50430" w:rsidP="00F50430">
      <w:pPr>
        <w:pStyle w:val="ListParagraph"/>
        <w:widowControl w:val="0"/>
        <w:numPr>
          <w:ilvl w:val="0"/>
          <w:numId w:val="12"/>
        </w:numPr>
        <w:autoSpaceDE w:val="0"/>
        <w:autoSpaceDN w:val="0"/>
        <w:adjustRightInd w:val="0"/>
        <w:spacing w:after="240"/>
        <w:ind w:left="392" w:hanging="392"/>
        <w:contextualSpacing w:val="0"/>
        <w:jc w:val="both"/>
        <w:rPr>
          <w:rStyle w:val="Hyperlink"/>
          <w:rFonts w:eastAsia="Calibri"/>
          <w:color w:val="auto"/>
          <w:sz w:val="22"/>
          <w:szCs w:val="22"/>
        </w:rPr>
      </w:pPr>
      <w:r w:rsidRPr="000C7281">
        <w:rPr>
          <w:rFonts w:eastAsia="Calibri"/>
          <w:sz w:val="22"/>
          <w:szCs w:val="22"/>
        </w:rPr>
        <w:t xml:space="preserve">Indonesian Central Bureau of Statistics. (2016). </w:t>
      </w:r>
      <w:r w:rsidRPr="000C7281">
        <w:rPr>
          <w:rFonts w:eastAsia="Calibri"/>
          <w:i/>
          <w:sz w:val="22"/>
          <w:szCs w:val="22"/>
          <w:lang w:val="id-ID"/>
        </w:rPr>
        <w:t>Semarang Regency in Figure</w:t>
      </w:r>
      <w:r w:rsidRPr="000C7281">
        <w:rPr>
          <w:rFonts w:eastAsia="Calibri"/>
          <w:sz w:val="22"/>
          <w:szCs w:val="22"/>
        </w:rPr>
        <w:t>.</w:t>
      </w:r>
      <w:hyperlink r:id="rId15" w:history="1">
        <w:r w:rsidRPr="000C7281">
          <w:rPr>
            <w:rStyle w:val="Hyperlink"/>
            <w:rFonts w:eastAsia="Calibri"/>
            <w:color w:val="auto"/>
            <w:sz w:val="22"/>
            <w:szCs w:val="22"/>
          </w:rPr>
          <w:t>https://www.bps.go.id/</w:t>
        </w:r>
      </w:hyperlink>
    </w:p>
    <w:p w:rsidR="00F50430" w:rsidRPr="000C7281" w:rsidRDefault="00F50430" w:rsidP="00F50430">
      <w:pPr>
        <w:pStyle w:val="ListParagraph"/>
        <w:numPr>
          <w:ilvl w:val="0"/>
          <w:numId w:val="12"/>
        </w:numPr>
        <w:spacing w:after="240"/>
        <w:ind w:left="392" w:hanging="392"/>
        <w:contextualSpacing w:val="0"/>
        <w:jc w:val="both"/>
        <w:rPr>
          <w:rFonts w:eastAsia="Calibri"/>
          <w:sz w:val="22"/>
          <w:szCs w:val="22"/>
        </w:rPr>
      </w:pPr>
      <w:r w:rsidRPr="000C7281">
        <w:rPr>
          <w:rFonts w:eastAsia="Calibri"/>
          <w:sz w:val="22"/>
          <w:szCs w:val="22"/>
        </w:rPr>
        <w:t>Muriithi, B.W., Mburu, J. and Ngigi, M., 2011. Constraints and determinants of compliance withEurepGap standards: a case of smallholder french bean exporters in Kirinyaga district, Kenya.</w:t>
      </w:r>
      <w:r w:rsidRPr="000C7281">
        <w:rPr>
          <w:rFonts w:eastAsia="Calibri"/>
          <w:i/>
          <w:sz w:val="22"/>
          <w:szCs w:val="22"/>
        </w:rPr>
        <w:t>Agribusiness</w:t>
      </w:r>
      <w:r w:rsidRPr="000C7281">
        <w:rPr>
          <w:rFonts w:eastAsia="Calibri"/>
          <w:sz w:val="22"/>
          <w:szCs w:val="22"/>
        </w:rPr>
        <w:t xml:space="preserve"> 27: 193-204.</w:t>
      </w:r>
    </w:p>
    <w:p w:rsidR="00F50430" w:rsidRPr="000C7281" w:rsidRDefault="00F50430" w:rsidP="00F50430">
      <w:pPr>
        <w:pStyle w:val="ListParagraph"/>
        <w:numPr>
          <w:ilvl w:val="0"/>
          <w:numId w:val="12"/>
        </w:numPr>
        <w:spacing w:after="240"/>
        <w:ind w:left="392" w:hanging="392"/>
        <w:contextualSpacing w:val="0"/>
        <w:jc w:val="both"/>
        <w:rPr>
          <w:rFonts w:eastAsia="Calibri"/>
          <w:sz w:val="22"/>
          <w:szCs w:val="22"/>
        </w:rPr>
      </w:pPr>
      <w:r w:rsidRPr="000C7281">
        <w:rPr>
          <w:sz w:val="22"/>
          <w:szCs w:val="22"/>
        </w:rPr>
        <w:t xml:space="preserve">North, Douglass C. </w:t>
      </w:r>
      <w:r w:rsidRPr="000C7281">
        <w:rPr>
          <w:sz w:val="22"/>
          <w:szCs w:val="22"/>
          <w:lang w:val="id-ID"/>
        </w:rPr>
        <w:t>(</w:t>
      </w:r>
      <w:r w:rsidRPr="000C7281">
        <w:rPr>
          <w:sz w:val="22"/>
          <w:szCs w:val="22"/>
        </w:rPr>
        <w:t>1991</w:t>
      </w:r>
      <w:r w:rsidRPr="000C7281">
        <w:rPr>
          <w:sz w:val="22"/>
          <w:szCs w:val="22"/>
          <w:lang w:val="id-ID"/>
        </w:rPr>
        <w:t>)</w:t>
      </w:r>
      <w:r w:rsidRPr="000C7281">
        <w:rPr>
          <w:sz w:val="22"/>
          <w:szCs w:val="22"/>
        </w:rPr>
        <w:t xml:space="preserve">, Institutions, </w:t>
      </w:r>
      <w:r w:rsidRPr="000C7281">
        <w:rPr>
          <w:i/>
          <w:sz w:val="22"/>
          <w:szCs w:val="22"/>
        </w:rPr>
        <w:t>Journal of Economic Perspectives</w:t>
      </w:r>
      <w:r w:rsidRPr="000C7281">
        <w:rPr>
          <w:sz w:val="22"/>
          <w:szCs w:val="22"/>
        </w:rPr>
        <w:t>, 97-112.</w:t>
      </w:r>
    </w:p>
    <w:p w:rsidR="00F50430" w:rsidRPr="000C7281" w:rsidRDefault="00F50430" w:rsidP="00F50430">
      <w:pPr>
        <w:pStyle w:val="ListParagraph"/>
        <w:numPr>
          <w:ilvl w:val="0"/>
          <w:numId w:val="12"/>
        </w:numPr>
        <w:spacing w:after="240"/>
        <w:ind w:left="392" w:hanging="392"/>
        <w:contextualSpacing w:val="0"/>
        <w:jc w:val="both"/>
        <w:rPr>
          <w:rFonts w:eastAsia="Calibri"/>
          <w:sz w:val="22"/>
          <w:szCs w:val="22"/>
        </w:rPr>
      </w:pPr>
      <w:r w:rsidRPr="000C7281">
        <w:rPr>
          <w:rFonts w:eastAsia="Calibri"/>
          <w:sz w:val="22"/>
          <w:szCs w:val="22"/>
        </w:rPr>
        <w:t>OECD. 2005. Oslo Manual, 3rd Edition. (2005). Guidelines for collecting and interpreting innovation data. OECD, Eurostat, Paris.</w:t>
      </w:r>
    </w:p>
    <w:p w:rsidR="00F50430" w:rsidRPr="000C7281" w:rsidRDefault="00F50430" w:rsidP="00F50430">
      <w:pPr>
        <w:pStyle w:val="ListParagraph"/>
        <w:numPr>
          <w:ilvl w:val="0"/>
          <w:numId w:val="12"/>
        </w:numPr>
        <w:spacing w:after="240"/>
        <w:ind w:left="392" w:hanging="392"/>
        <w:contextualSpacing w:val="0"/>
        <w:jc w:val="both"/>
        <w:rPr>
          <w:rFonts w:eastAsia="Calibri"/>
          <w:sz w:val="22"/>
          <w:szCs w:val="22"/>
        </w:rPr>
      </w:pPr>
      <w:r w:rsidRPr="000C7281">
        <w:rPr>
          <w:sz w:val="22"/>
          <w:szCs w:val="22"/>
        </w:rPr>
        <w:lastRenderedPageBreak/>
        <w:t>Pyburn, R. and J. Woodhill (eds.) 2014.</w:t>
      </w:r>
      <w:r w:rsidRPr="000C7281">
        <w:rPr>
          <w:i/>
          <w:sz w:val="22"/>
          <w:szCs w:val="22"/>
        </w:rPr>
        <w:t>Dynamics of Rural Innovation – A primer for emerging professionals</w:t>
      </w:r>
      <w:r w:rsidRPr="000C7281">
        <w:rPr>
          <w:sz w:val="22"/>
          <w:szCs w:val="22"/>
        </w:rPr>
        <w:t>.LM Publishers, Arnhem</w:t>
      </w:r>
    </w:p>
    <w:p w:rsidR="00F50430" w:rsidRPr="000C7281" w:rsidRDefault="00F50430" w:rsidP="00F50430">
      <w:pPr>
        <w:pStyle w:val="ListParagraph"/>
        <w:numPr>
          <w:ilvl w:val="0"/>
          <w:numId w:val="12"/>
        </w:numPr>
        <w:spacing w:after="240"/>
        <w:ind w:left="392" w:hanging="392"/>
        <w:contextualSpacing w:val="0"/>
        <w:jc w:val="both"/>
        <w:rPr>
          <w:rFonts w:eastAsia="Calibri"/>
          <w:sz w:val="22"/>
          <w:szCs w:val="22"/>
        </w:rPr>
      </w:pPr>
      <w:r w:rsidRPr="000C7281">
        <w:rPr>
          <w:sz w:val="22"/>
          <w:szCs w:val="22"/>
        </w:rPr>
        <w:t xml:space="preserve">Raynolds, L.T., 2004. The globalization of organic agro-food networks. </w:t>
      </w:r>
      <w:r w:rsidRPr="000C7281">
        <w:rPr>
          <w:i/>
          <w:sz w:val="22"/>
          <w:szCs w:val="22"/>
        </w:rPr>
        <w:t>World Development</w:t>
      </w:r>
      <w:r w:rsidRPr="000C7281">
        <w:rPr>
          <w:sz w:val="22"/>
          <w:szCs w:val="22"/>
        </w:rPr>
        <w:t>32: 725-743.</w:t>
      </w:r>
    </w:p>
    <w:p w:rsidR="00F50430" w:rsidRPr="000C7281" w:rsidRDefault="00F50430" w:rsidP="00F50430">
      <w:pPr>
        <w:pStyle w:val="ListParagraph"/>
        <w:numPr>
          <w:ilvl w:val="0"/>
          <w:numId w:val="12"/>
        </w:numPr>
        <w:spacing w:after="240"/>
        <w:ind w:left="392" w:hanging="392"/>
        <w:contextualSpacing w:val="0"/>
        <w:jc w:val="both"/>
        <w:rPr>
          <w:sz w:val="22"/>
          <w:szCs w:val="22"/>
        </w:rPr>
      </w:pPr>
      <w:r w:rsidRPr="000C7281">
        <w:rPr>
          <w:rFonts w:eastAsia="Calibri"/>
          <w:sz w:val="22"/>
          <w:szCs w:val="22"/>
        </w:rPr>
        <w:t xml:space="preserve">Royer, A., Bijman, J. and Bitzer, V. (2016). </w:t>
      </w:r>
      <w:r w:rsidRPr="000C7281">
        <w:rPr>
          <w:rFonts w:eastAsia="Calibri"/>
          <w:i/>
          <w:sz w:val="22"/>
          <w:szCs w:val="22"/>
        </w:rPr>
        <w:t>Linking smallholder farmers to high quality food chains: appraising institutional arrangements</w:t>
      </w:r>
      <w:r w:rsidRPr="000C7281">
        <w:rPr>
          <w:rFonts w:eastAsia="Calibri"/>
          <w:sz w:val="22"/>
          <w:szCs w:val="22"/>
        </w:rPr>
        <w:t>. Quality and innovation in food chains. Wageningen Academic Publishers</w:t>
      </w:r>
      <w:r w:rsidRPr="000C7281">
        <w:rPr>
          <w:rFonts w:eastAsia="Calibri"/>
          <w:sz w:val="22"/>
          <w:szCs w:val="22"/>
          <w:lang w:val="en-GB"/>
        </w:rPr>
        <w:t>, 1-274.</w:t>
      </w:r>
    </w:p>
    <w:p w:rsidR="00F50430" w:rsidRPr="000C7281" w:rsidRDefault="00F50430" w:rsidP="00F50430">
      <w:pPr>
        <w:pStyle w:val="ListParagraph"/>
        <w:numPr>
          <w:ilvl w:val="0"/>
          <w:numId w:val="12"/>
        </w:numPr>
        <w:spacing w:after="240"/>
        <w:ind w:left="392" w:hanging="392"/>
        <w:contextualSpacing w:val="0"/>
        <w:jc w:val="both"/>
        <w:rPr>
          <w:sz w:val="22"/>
          <w:szCs w:val="22"/>
        </w:rPr>
      </w:pPr>
      <w:r w:rsidRPr="000C7281">
        <w:rPr>
          <w:sz w:val="22"/>
          <w:szCs w:val="22"/>
        </w:rPr>
        <w:t>Saad, M. and Zawdie, G. (2005) ‘From technology transfer to the emergence of a Triple Helixculture: the experience of Algeria in innovation and technological capability development’,</w:t>
      </w:r>
      <w:r w:rsidRPr="000C7281">
        <w:rPr>
          <w:i/>
          <w:sz w:val="22"/>
          <w:szCs w:val="22"/>
        </w:rPr>
        <w:t>Technology Analysis &amp; Strategic Management</w:t>
      </w:r>
      <w:r w:rsidRPr="000C7281">
        <w:rPr>
          <w:sz w:val="22"/>
          <w:szCs w:val="22"/>
        </w:rPr>
        <w:t>, 17</w:t>
      </w:r>
      <w:r w:rsidRPr="000C7281">
        <w:rPr>
          <w:sz w:val="22"/>
          <w:szCs w:val="22"/>
          <w:lang w:val="id-ID"/>
        </w:rPr>
        <w:t>(1)</w:t>
      </w:r>
      <w:r w:rsidRPr="000C7281">
        <w:rPr>
          <w:sz w:val="22"/>
          <w:szCs w:val="22"/>
        </w:rPr>
        <w:t>, 89–103.</w:t>
      </w:r>
    </w:p>
    <w:p w:rsidR="00F50430" w:rsidRPr="000C7281" w:rsidRDefault="00F50430" w:rsidP="00F50430">
      <w:pPr>
        <w:pStyle w:val="ListParagraph"/>
        <w:numPr>
          <w:ilvl w:val="0"/>
          <w:numId w:val="12"/>
        </w:numPr>
        <w:spacing w:after="240"/>
        <w:ind w:left="392" w:hanging="392"/>
        <w:contextualSpacing w:val="0"/>
        <w:jc w:val="both"/>
        <w:rPr>
          <w:sz w:val="22"/>
          <w:szCs w:val="22"/>
        </w:rPr>
      </w:pPr>
      <w:r w:rsidRPr="000C7281">
        <w:rPr>
          <w:sz w:val="22"/>
          <w:szCs w:val="22"/>
        </w:rPr>
        <w:t xml:space="preserve">Schumpeter, J.A. </w:t>
      </w:r>
      <w:r w:rsidRPr="000C7281">
        <w:rPr>
          <w:sz w:val="22"/>
          <w:szCs w:val="22"/>
          <w:lang w:val="en-ID"/>
        </w:rPr>
        <w:t>(</w:t>
      </w:r>
      <w:r w:rsidRPr="000C7281">
        <w:rPr>
          <w:sz w:val="22"/>
          <w:szCs w:val="22"/>
        </w:rPr>
        <w:t>1934</w:t>
      </w:r>
      <w:r w:rsidRPr="000C7281">
        <w:rPr>
          <w:sz w:val="22"/>
          <w:szCs w:val="22"/>
          <w:lang w:val="en-ID"/>
        </w:rPr>
        <w:t>)</w:t>
      </w:r>
      <w:r w:rsidRPr="000C7281">
        <w:rPr>
          <w:sz w:val="22"/>
          <w:szCs w:val="22"/>
        </w:rPr>
        <w:t xml:space="preserve">. </w:t>
      </w:r>
      <w:r w:rsidRPr="000C7281">
        <w:rPr>
          <w:i/>
          <w:sz w:val="22"/>
          <w:szCs w:val="22"/>
        </w:rPr>
        <w:t>The Theory of Economic Development</w:t>
      </w:r>
      <w:r w:rsidRPr="000C7281">
        <w:rPr>
          <w:sz w:val="22"/>
          <w:szCs w:val="22"/>
        </w:rPr>
        <w:t xml:space="preserve">. Cambridge, MA: </w:t>
      </w:r>
    </w:p>
    <w:p w:rsidR="00F50430" w:rsidRPr="000C7281" w:rsidRDefault="00F50430" w:rsidP="00F50430">
      <w:pPr>
        <w:pStyle w:val="ListParagraph"/>
        <w:numPr>
          <w:ilvl w:val="0"/>
          <w:numId w:val="12"/>
        </w:numPr>
        <w:spacing w:after="240"/>
        <w:ind w:left="392" w:hanging="392"/>
        <w:contextualSpacing w:val="0"/>
        <w:jc w:val="both"/>
        <w:rPr>
          <w:sz w:val="22"/>
          <w:szCs w:val="22"/>
        </w:rPr>
      </w:pPr>
      <w:r w:rsidRPr="000C7281">
        <w:rPr>
          <w:sz w:val="22"/>
          <w:szCs w:val="22"/>
        </w:rPr>
        <w:t>S</w:t>
      </w:r>
      <w:r w:rsidRPr="000C7281">
        <w:rPr>
          <w:sz w:val="22"/>
          <w:szCs w:val="22"/>
          <w:lang w:val="en-ID"/>
        </w:rPr>
        <w:t>mith, A</w:t>
      </w:r>
      <w:r w:rsidRPr="000C7281">
        <w:rPr>
          <w:sz w:val="22"/>
          <w:szCs w:val="22"/>
        </w:rPr>
        <w:t>.</w:t>
      </w:r>
      <w:r w:rsidRPr="000C7281">
        <w:rPr>
          <w:sz w:val="22"/>
          <w:szCs w:val="22"/>
          <w:lang w:val="en-ID"/>
        </w:rPr>
        <w:t>,(</w:t>
      </w:r>
      <w:r w:rsidRPr="000C7281">
        <w:rPr>
          <w:sz w:val="22"/>
          <w:szCs w:val="22"/>
        </w:rPr>
        <w:t>1776</w:t>
      </w:r>
      <w:r w:rsidRPr="000C7281">
        <w:rPr>
          <w:sz w:val="22"/>
          <w:szCs w:val="22"/>
          <w:lang w:val="en-ID"/>
        </w:rPr>
        <w:t>)</w:t>
      </w:r>
      <w:r w:rsidRPr="000C7281">
        <w:rPr>
          <w:sz w:val="22"/>
          <w:szCs w:val="22"/>
        </w:rPr>
        <w:t xml:space="preserve">. </w:t>
      </w:r>
      <w:r w:rsidRPr="000C7281">
        <w:rPr>
          <w:i/>
          <w:sz w:val="22"/>
          <w:szCs w:val="22"/>
        </w:rPr>
        <w:t>An Inquiry into the Nature and Causes of the Wealth ofNations</w:t>
      </w:r>
      <w:r w:rsidRPr="000C7281">
        <w:rPr>
          <w:sz w:val="22"/>
          <w:szCs w:val="22"/>
          <w:lang w:val="en-ID"/>
        </w:rPr>
        <w:t>. Edited by S.M. Soares. MetaLibri Digital Library, 1-743</w:t>
      </w:r>
      <w:r w:rsidRPr="000C7281">
        <w:rPr>
          <w:sz w:val="22"/>
          <w:szCs w:val="22"/>
        </w:rPr>
        <w:t>.</w:t>
      </w:r>
    </w:p>
    <w:p w:rsidR="00F50430" w:rsidRPr="000C7281" w:rsidRDefault="00F50430" w:rsidP="00F50430">
      <w:pPr>
        <w:pStyle w:val="ListParagraph"/>
        <w:numPr>
          <w:ilvl w:val="0"/>
          <w:numId w:val="12"/>
        </w:numPr>
        <w:spacing w:after="240"/>
        <w:ind w:left="392" w:hanging="392"/>
        <w:contextualSpacing w:val="0"/>
        <w:jc w:val="both"/>
        <w:rPr>
          <w:sz w:val="22"/>
          <w:szCs w:val="22"/>
        </w:rPr>
      </w:pPr>
      <w:r w:rsidRPr="000C7281">
        <w:rPr>
          <w:sz w:val="22"/>
          <w:szCs w:val="22"/>
          <w:lang w:val="id-ID"/>
        </w:rPr>
        <w:t xml:space="preserve">Sumpeno </w:t>
      </w:r>
      <w:r w:rsidRPr="000C7281">
        <w:rPr>
          <w:i/>
          <w:sz w:val="22"/>
          <w:szCs w:val="22"/>
          <w:lang w:val="id-ID"/>
        </w:rPr>
        <w:t>et al.</w:t>
      </w:r>
      <w:r w:rsidRPr="000C7281">
        <w:rPr>
          <w:sz w:val="22"/>
          <w:szCs w:val="22"/>
          <w:lang w:val="id-ID"/>
        </w:rPr>
        <w:t xml:space="preserve">, 2017. </w:t>
      </w:r>
      <w:r w:rsidRPr="000C7281">
        <w:rPr>
          <w:i/>
          <w:sz w:val="22"/>
          <w:szCs w:val="22"/>
          <w:lang w:val="id-ID"/>
        </w:rPr>
        <w:t>Modul Pelatihan Percepatan Program Inovasi Desa Tenaga Ahli P3MD</w:t>
      </w:r>
      <w:r w:rsidRPr="000C7281">
        <w:rPr>
          <w:sz w:val="22"/>
          <w:szCs w:val="22"/>
          <w:lang w:val="id-ID"/>
        </w:rPr>
        <w:t>. Kementerian Desa, Pembangunan Daerah Tertinggal, Dan Transmigrasi Republik Indonesia</w:t>
      </w:r>
    </w:p>
    <w:p w:rsidR="00F50430" w:rsidRPr="000C7281" w:rsidRDefault="00F50430" w:rsidP="00F50430">
      <w:pPr>
        <w:pStyle w:val="ListParagraph"/>
        <w:numPr>
          <w:ilvl w:val="0"/>
          <w:numId w:val="12"/>
        </w:numPr>
        <w:spacing w:after="240"/>
        <w:ind w:left="392" w:hanging="392"/>
        <w:contextualSpacing w:val="0"/>
        <w:jc w:val="both"/>
        <w:rPr>
          <w:sz w:val="22"/>
          <w:szCs w:val="22"/>
        </w:rPr>
      </w:pPr>
      <w:r w:rsidRPr="000C7281">
        <w:rPr>
          <w:sz w:val="22"/>
          <w:szCs w:val="22"/>
        </w:rPr>
        <w:t xml:space="preserve">Uhl-Bien, M., Marion, R., &amp; McKelvey, B. (2007). Complexity leadership theory: Shifting leadership from the industrial age to the knowledgeera. </w:t>
      </w:r>
      <w:r w:rsidRPr="000C7281">
        <w:rPr>
          <w:i/>
          <w:sz w:val="22"/>
          <w:szCs w:val="22"/>
        </w:rPr>
        <w:t>The leadership quarterly</w:t>
      </w:r>
      <w:r w:rsidRPr="000C7281">
        <w:rPr>
          <w:sz w:val="22"/>
          <w:szCs w:val="22"/>
        </w:rPr>
        <w:t>, 18(4), 298-318.</w:t>
      </w:r>
    </w:p>
    <w:p w:rsidR="00F50430" w:rsidRPr="000C7281" w:rsidRDefault="00F50430" w:rsidP="00F50430">
      <w:pPr>
        <w:pStyle w:val="ListParagraph"/>
        <w:numPr>
          <w:ilvl w:val="0"/>
          <w:numId w:val="12"/>
        </w:numPr>
        <w:spacing w:after="240"/>
        <w:ind w:left="392" w:hanging="392"/>
        <w:contextualSpacing w:val="0"/>
        <w:jc w:val="both"/>
        <w:rPr>
          <w:sz w:val="22"/>
          <w:szCs w:val="22"/>
        </w:rPr>
      </w:pPr>
      <w:r w:rsidRPr="000C7281">
        <w:rPr>
          <w:sz w:val="22"/>
          <w:szCs w:val="22"/>
          <w:lang w:val="nl-NL"/>
        </w:rPr>
        <w:t xml:space="preserve">Verheul, I. dan A.R. Thurik, 2001. Start-up capital: differences between male and female entrepreneurs. Does jenis kelamin matter?. </w:t>
      </w:r>
      <w:r w:rsidRPr="000C7281">
        <w:rPr>
          <w:i/>
          <w:sz w:val="22"/>
          <w:szCs w:val="22"/>
          <w:lang w:val="nl-NL"/>
        </w:rPr>
        <w:t>Small Business Economics, forthcoming.</w:t>
      </w:r>
    </w:p>
    <w:p w:rsidR="00F50430" w:rsidRPr="000C7281" w:rsidRDefault="00F50430" w:rsidP="00F50430">
      <w:pPr>
        <w:pStyle w:val="ListParagraph"/>
        <w:numPr>
          <w:ilvl w:val="0"/>
          <w:numId w:val="12"/>
        </w:numPr>
        <w:spacing w:after="240"/>
        <w:ind w:left="392" w:hanging="392"/>
        <w:contextualSpacing w:val="0"/>
        <w:jc w:val="both"/>
        <w:rPr>
          <w:sz w:val="22"/>
          <w:szCs w:val="22"/>
        </w:rPr>
      </w:pPr>
      <w:r w:rsidRPr="000C7281">
        <w:rPr>
          <w:sz w:val="22"/>
          <w:szCs w:val="22"/>
        </w:rPr>
        <w:t xml:space="preserve">Wallace, P. 2006. The new world of work and organizations: Implications for human resource management. </w:t>
      </w:r>
      <w:r w:rsidRPr="000C7281">
        <w:rPr>
          <w:i/>
          <w:sz w:val="22"/>
          <w:szCs w:val="22"/>
        </w:rPr>
        <w:t>Human Resource Management Review</w:t>
      </w:r>
      <w:r w:rsidRPr="000C7281">
        <w:rPr>
          <w:sz w:val="22"/>
          <w:szCs w:val="22"/>
        </w:rPr>
        <w:t xml:space="preserve"> 16 83–85</w:t>
      </w:r>
    </w:p>
    <w:p w:rsidR="00F50430" w:rsidRPr="000C7281" w:rsidRDefault="00F50430" w:rsidP="00F50430">
      <w:pPr>
        <w:pStyle w:val="ListParagraph"/>
        <w:numPr>
          <w:ilvl w:val="0"/>
          <w:numId w:val="12"/>
        </w:numPr>
        <w:spacing w:after="240"/>
        <w:ind w:left="392" w:hanging="392"/>
        <w:contextualSpacing w:val="0"/>
        <w:jc w:val="both"/>
        <w:rPr>
          <w:sz w:val="22"/>
          <w:szCs w:val="22"/>
        </w:rPr>
      </w:pPr>
      <w:r w:rsidRPr="000C7281">
        <w:rPr>
          <w:sz w:val="22"/>
          <w:szCs w:val="22"/>
        </w:rPr>
        <w:t xml:space="preserve">Williamson, Oliver E. </w:t>
      </w:r>
      <w:r w:rsidRPr="000C7281">
        <w:rPr>
          <w:sz w:val="22"/>
          <w:szCs w:val="22"/>
          <w:lang w:val="id-ID"/>
        </w:rPr>
        <w:t>2000</w:t>
      </w:r>
      <w:r w:rsidRPr="000C7281">
        <w:rPr>
          <w:sz w:val="22"/>
          <w:szCs w:val="22"/>
        </w:rPr>
        <w:t>, The New Institutional Economics:Taking Stock, Looking Ahead,</w:t>
      </w:r>
      <w:r w:rsidRPr="000C7281">
        <w:rPr>
          <w:i/>
          <w:sz w:val="22"/>
          <w:szCs w:val="22"/>
        </w:rPr>
        <w:t>Journal of Institutional and Theoretical Economics</w:t>
      </w:r>
      <w:r w:rsidRPr="000C7281">
        <w:rPr>
          <w:sz w:val="22"/>
          <w:szCs w:val="22"/>
        </w:rPr>
        <w:t>, 99-118.</w:t>
      </w:r>
    </w:p>
    <w:p w:rsidR="00F50430" w:rsidRPr="000C7281" w:rsidRDefault="00F50430" w:rsidP="00F50430">
      <w:pPr>
        <w:spacing w:after="120"/>
        <w:jc w:val="both"/>
        <w:rPr>
          <w:sz w:val="22"/>
          <w:szCs w:val="22"/>
        </w:rPr>
      </w:pPr>
    </w:p>
    <w:p w:rsidR="00F41C66" w:rsidRPr="000C7281" w:rsidRDefault="00757B85" w:rsidP="00757B85">
      <w:pPr>
        <w:pStyle w:val="ListParagraph"/>
        <w:numPr>
          <w:ilvl w:val="0"/>
          <w:numId w:val="2"/>
        </w:numPr>
        <w:spacing w:after="120"/>
        <w:ind w:left="360"/>
        <w:jc w:val="both"/>
        <w:rPr>
          <w:b/>
          <w:sz w:val="22"/>
          <w:szCs w:val="22"/>
        </w:rPr>
      </w:pPr>
      <w:r w:rsidRPr="000C7281">
        <w:rPr>
          <w:b/>
          <w:sz w:val="22"/>
          <w:szCs w:val="22"/>
        </w:rPr>
        <w:t>Appendixes</w:t>
      </w:r>
    </w:p>
    <w:p w:rsidR="00F41C66" w:rsidRPr="000C7281" w:rsidRDefault="00F41C66" w:rsidP="00D73172">
      <w:pPr>
        <w:spacing w:after="120"/>
        <w:ind w:firstLine="360"/>
        <w:jc w:val="both"/>
        <w:rPr>
          <w:sz w:val="22"/>
          <w:szCs w:val="22"/>
        </w:rPr>
      </w:pPr>
    </w:p>
    <w:p w:rsidR="00F41C66" w:rsidRPr="000C7281" w:rsidRDefault="00F41C66" w:rsidP="00D73172">
      <w:pPr>
        <w:spacing w:after="120"/>
        <w:ind w:firstLine="360"/>
        <w:jc w:val="both"/>
        <w:rPr>
          <w:sz w:val="22"/>
          <w:szCs w:val="22"/>
        </w:rPr>
      </w:pPr>
    </w:p>
    <w:p w:rsidR="00482F53" w:rsidRPr="000C7281" w:rsidRDefault="00482F53" w:rsidP="00D73172">
      <w:pPr>
        <w:spacing w:after="120"/>
        <w:ind w:firstLine="360"/>
        <w:jc w:val="both"/>
        <w:rPr>
          <w:sz w:val="22"/>
          <w:szCs w:val="22"/>
        </w:rPr>
      </w:pPr>
    </w:p>
    <w:p w:rsidR="00482F53" w:rsidRPr="000C7281" w:rsidRDefault="00482F53" w:rsidP="00D73172">
      <w:pPr>
        <w:spacing w:after="120"/>
        <w:ind w:firstLine="360"/>
        <w:jc w:val="both"/>
        <w:rPr>
          <w:sz w:val="22"/>
          <w:szCs w:val="22"/>
        </w:rPr>
      </w:pPr>
    </w:p>
    <w:sectPr w:rsidR="00482F53" w:rsidRPr="000C7281"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3AB" w:rsidRDefault="001F13AB">
      <w:r>
        <w:separator/>
      </w:r>
    </w:p>
  </w:endnote>
  <w:endnote w:type="continuationSeparator" w:id="1">
    <w:p w:rsidR="001F13AB" w:rsidRDefault="001F13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72659"/>
      <w:docPartObj>
        <w:docPartGallery w:val="Page Numbers (Bottom of Page)"/>
        <w:docPartUnique/>
      </w:docPartObj>
    </w:sdtPr>
    <w:sdtContent>
      <w:p w:rsidR="00C42E54" w:rsidRDefault="009F2240">
        <w:pPr>
          <w:pStyle w:val="Footer"/>
        </w:pPr>
        <w:r>
          <w:fldChar w:fldCharType="begin"/>
        </w:r>
        <w:r w:rsidR="00C42E54">
          <w:instrText xml:space="preserve"> PAGE   \* MERGEFORMAT </w:instrText>
        </w:r>
        <w:r>
          <w:fldChar w:fldCharType="separate"/>
        </w:r>
        <w:r w:rsidR="00141B10">
          <w:rPr>
            <w:noProof/>
          </w:rPr>
          <w:t>2</w:t>
        </w:r>
        <w:r>
          <w:rPr>
            <w:noProof/>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72655"/>
      <w:docPartObj>
        <w:docPartGallery w:val="Page Numbers (Bottom of Page)"/>
        <w:docPartUnique/>
      </w:docPartObj>
    </w:sdtPr>
    <w:sdtContent>
      <w:p w:rsidR="00C42E54" w:rsidRDefault="009F2240" w:rsidP="00F41C66">
        <w:pPr>
          <w:pStyle w:val="Footer"/>
          <w:jc w:val="right"/>
        </w:pPr>
        <w:r>
          <w:fldChar w:fldCharType="begin"/>
        </w:r>
        <w:r w:rsidR="00C42E54">
          <w:instrText xml:space="preserve"> PAGE   \* MERGEFORMAT </w:instrText>
        </w:r>
        <w:r>
          <w:fldChar w:fldCharType="separate"/>
        </w:r>
        <w:r w:rsidR="00141B10">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3AB" w:rsidRDefault="001F13AB">
      <w:r>
        <w:separator/>
      </w:r>
    </w:p>
  </w:footnote>
  <w:footnote w:type="continuationSeparator" w:id="1">
    <w:p w:rsidR="001F13AB" w:rsidRDefault="001F13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B7541A"/>
    <w:multiLevelType w:val="hybridMultilevel"/>
    <w:tmpl w:val="573E3A4E"/>
    <w:lvl w:ilvl="0" w:tplc="0A8A8DAC">
      <w:start w:val="1"/>
      <w:numFmt w:val="decimal"/>
      <w:lvlText w:val="%1."/>
      <w:lvlJc w:val="left"/>
      <w:pPr>
        <w:ind w:left="644"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2D293E"/>
    <w:multiLevelType w:val="hybridMultilevel"/>
    <w:tmpl w:val="93B0576C"/>
    <w:lvl w:ilvl="0" w:tplc="0421000F">
      <w:start w:val="1"/>
      <w:numFmt w:val="decimal"/>
      <w:lvlText w:val="%1."/>
      <w:lvlJc w:val="left"/>
      <w:pPr>
        <w:ind w:left="920" w:hanging="360"/>
      </w:pPr>
    </w:lvl>
    <w:lvl w:ilvl="1" w:tplc="04210003">
      <w:start w:val="1"/>
      <w:numFmt w:val="bullet"/>
      <w:lvlText w:val="o"/>
      <w:lvlJc w:val="left"/>
      <w:pPr>
        <w:ind w:left="1640" w:hanging="360"/>
      </w:pPr>
      <w:rPr>
        <w:rFonts w:ascii="Courier New" w:hAnsi="Courier New" w:cs="Courier New" w:hint="default"/>
      </w:rPr>
    </w:lvl>
    <w:lvl w:ilvl="2" w:tplc="04210005">
      <w:start w:val="1"/>
      <w:numFmt w:val="bullet"/>
      <w:lvlText w:val=""/>
      <w:lvlJc w:val="left"/>
      <w:pPr>
        <w:ind w:left="2360" w:hanging="360"/>
      </w:pPr>
      <w:rPr>
        <w:rFonts w:ascii="Wingdings" w:hAnsi="Wingdings" w:hint="default"/>
      </w:rPr>
    </w:lvl>
    <w:lvl w:ilvl="3" w:tplc="04210001">
      <w:start w:val="1"/>
      <w:numFmt w:val="bullet"/>
      <w:lvlText w:val=""/>
      <w:lvlJc w:val="left"/>
      <w:pPr>
        <w:ind w:left="3080" w:hanging="360"/>
      </w:pPr>
      <w:rPr>
        <w:rFonts w:ascii="Symbol" w:hAnsi="Symbol" w:hint="default"/>
      </w:rPr>
    </w:lvl>
    <w:lvl w:ilvl="4" w:tplc="04210003">
      <w:start w:val="1"/>
      <w:numFmt w:val="bullet"/>
      <w:lvlText w:val="o"/>
      <w:lvlJc w:val="left"/>
      <w:pPr>
        <w:ind w:left="3800" w:hanging="360"/>
      </w:pPr>
      <w:rPr>
        <w:rFonts w:ascii="Courier New" w:hAnsi="Courier New" w:cs="Courier New" w:hint="default"/>
      </w:rPr>
    </w:lvl>
    <w:lvl w:ilvl="5" w:tplc="04210005">
      <w:start w:val="1"/>
      <w:numFmt w:val="bullet"/>
      <w:lvlText w:val=""/>
      <w:lvlJc w:val="left"/>
      <w:pPr>
        <w:ind w:left="4520" w:hanging="360"/>
      </w:pPr>
      <w:rPr>
        <w:rFonts w:ascii="Wingdings" w:hAnsi="Wingdings" w:hint="default"/>
      </w:rPr>
    </w:lvl>
    <w:lvl w:ilvl="6" w:tplc="04210001">
      <w:start w:val="1"/>
      <w:numFmt w:val="bullet"/>
      <w:lvlText w:val=""/>
      <w:lvlJc w:val="left"/>
      <w:pPr>
        <w:ind w:left="5240" w:hanging="360"/>
      </w:pPr>
      <w:rPr>
        <w:rFonts w:ascii="Symbol" w:hAnsi="Symbol" w:hint="default"/>
      </w:rPr>
    </w:lvl>
    <w:lvl w:ilvl="7" w:tplc="04210003">
      <w:start w:val="1"/>
      <w:numFmt w:val="bullet"/>
      <w:lvlText w:val="o"/>
      <w:lvlJc w:val="left"/>
      <w:pPr>
        <w:ind w:left="5960" w:hanging="360"/>
      </w:pPr>
      <w:rPr>
        <w:rFonts w:ascii="Courier New" w:hAnsi="Courier New" w:cs="Courier New" w:hint="default"/>
      </w:rPr>
    </w:lvl>
    <w:lvl w:ilvl="8" w:tplc="04210005">
      <w:start w:val="1"/>
      <w:numFmt w:val="bullet"/>
      <w:lvlText w:val=""/>
      <w:lvlJc w:val="left"/>
      <w:pPr>
        <w:ind w:left="6680" w:hanging="360"/>
      </w:pPr>
      <w:rPr>
        <w:rFonts w:ascii="Wingdings" w:hAnsi="Wingdings" w:hint="default"/>
      </w:rPr>
    </w:lvl>
  </w:abstractNum>
  <w:abstractNum w:abstractNumId="5">
    <w:nsid w:val="2DCD4769"/>
    <w:multiLevelType w:val="hybridMultilevel"/>
    <w:tmpl w:val="93B0576C"/>
    <w:lvl w:ilvl="0" w:tplc="0421000F">
      <w:start w:val="1"/>
      <w:numFmt w:val="decimal"/>
      <w:lvlText w:val="%1."/>
      <w:lvlJc w:val="left"/>
      <w:pPr>
        <w:ind w:left="920" w:hanging="360"/>
      </w:pPr>
    </w:lvl>
    <w:lvl w:ilvl="1" w:tplc="04210003">
      <w:start w:val="1"/>
      <w:numFmt w:val="bullet"/>
      <w:lvlText w:val="o"/>
      <w:lvlJc w:val="left"/>
      <w:pPr>
        <w:ind w:left="1640" w:hanging="360"/>
      </w:pPr>
      <w:rPr>
        <w:rFonts w:ascii="Courier New" w:hAnsi="Courier New" w:cs="Courier New" w:hint="default"/>
      </w:rPr>
    </w:lvl>
    <w:lvl w:ilvl="2" w:tplc="04210005">
      <w:start w:val="1"/>
      <w:numFmt w:val="bullet"/>
      <w:lvlText w:val=""/>
      <w:lvlJc w:val="left"/>
      <w:pPr>
        <w:ind w:left="2360" w:hanging="360"/>
      </w:pPr>
      <w:rPr>
        <w:rFonts w:ascii="Wingdings" w:hAnsi="Wingdings" w:hint="default"/>
      </w:rPr>
    </w:lvl>
    <w:lvl w:ilvl="3" w:tplc="04210001">
      <w:start w:val="1"/>
      <w:numFmt w:val="bullet"/>
      <w:lvlText w:val=""/>
      <w:lvlJc w:val="left"/>
      <w:pPr>
        <w:ind w:left="3080" w:hanging="360"/>
      </w:pPr>
      <w:rPr>
        <w:rFonts w:ascii="Symbol" w:hAnsi="Symbol" w:hint="default"/>
      </w:rPr>
    </w:lvl>
    <w:lvl w:ilvl="4" w:tplc="04210003">
      <w:start w:val="1"/>
      <w:numFmt w:val="bullet"/>
      <w:lvlText w:val="o"/>
      <w:lvlJc w:val="left"/>
      <w:pPr>
        <w:ind w:left="3800" w:hanging="360"/>
      </w:pPr>
      <w:rPr>
        <w:rFonts w:ascii="Courier New" w:hAnsi="Courier New" w:cs="Courier New" w:hint="default"/>
      </w:rPr>
    </w:lvl>
    <w:lvl w:ilvl="5" w:tplc="04210005">
      <w:start w:val="1"/>
      <w:numFmt w:val="bullet"/>
      <w:lvlText w:val=""/>
      <w:lvlJc w:val="left"/>
      <w:pPr>
        <w:ind w:left="4520" w:hanging="360"/>
      </w:pPr>
      <w:rPr>
        <w:rFonts w:ascii="Wingdings" w:hAnsi="Wingdings" w:hint="default"/>
      </w:rPr>
    </w:lvl>
    <w:lvl w:ilvl="6" w:tplc="04210001">
      <w:start w:val="1"/>
      <w:numFmt w:val="bullet"/>
      <w:lvlText w:val=""/>
      <w:lvlJc w:val="left"/>
      <w:pPr>
        <w:ind w:left="5240" w:hanging="360"/>
      </w:pPr>
      <w:rPr>
        <w:rFonts w:ascii="Symbol" w:hAnsi="Symbol" w:hint="default"/>
      </w:rPr>
    </w:lvl>
    <w:lvl w:ilvl="7" w:tplc="04210003">
      <w:start w:val="1"/>
      <w:numFmt w:val="bullet"/>
      <w:lvlText w:val="o"/>
      <w:lvlJc w:val="left"/>
      <w:pPr>
        <w:ind w:left="5960" w:hanging="360"/>
      </w:pPr>
      <w:rPr>
        <w:rFonts w:ascii="Courier New" w:hAnsi="Courier New" w:cs="Courier New" w:hint="default"/>
      </w:rPr>
    </w:lvl>
    <w:lvl w:ilvl="8" w:tplc="04210005">
      <w:start w:val="1"/>
      <w:numFmt w:val="bullet"/>
      <w:lvlText w:val=""/>
      <w:lvlJc w:val="left"/>
      <w:pPr>
        <w:ind w:left="6680" w:hanging="360"/>
      </w:pPr>
      <w:rPr>
        <w:rFonts w:ascii="Wingdings" w:hAnsi="Wingdings" w:hint="default"/>
      </w:rPr>
    </w:lvl>
  </w:abstractNum>
  <w:abstractNum w:abstractNumId="6">
    <w:nsid w:val="481F0BFC"/>
    <w:multiLevelType w:val="hybridMultilevel"/>
    <w:tmpl w:val="93B0576C"/>
    <w:lvl w:ilvl="0" w:tplc="0421000F">
      <w:start w:val="1"/>
      <w:numFmt w:val="decimal"/>
      <w:lvlText w:val="%1."/>
      <w:lvlJc w:val="left"/>
      <w:pPr>
        <w:ind w:left="920" w:hanging="360"/>
      </w:pPr>
    </w:lvl>
    <w:lvl w:ilvl="1" w:tplc="04210003">
      <w:start w:val="1"/>
      <w:numFmt w:val="bullet"/>
      <w:lvlText w:val="o"/>
      <w:lvlJc w:val="left"/>
      <w:pPr>
        <w:ind w:left="1640" w:hanging="360"/>
      </w:pPr>
      <w:rPr>
        <w:rFonts w:ascii="Courier New" w:hAnsi="Courier New" w:cs="Courier New" w:hint="default"/>
      </w:rPr>
    </w:lvl>
    <w:lvl w:ilvl="2" w:tplc="04210005">
      <w:start w:val="1"/>
      <w:numFmt w:val="bullet"/>
      <w:lvlText w:val=""/>
      <w:lvlJc w:val="left"/>
      <w:pPr>
        <w:ind w:left="2360" w:hanging="360"/>
      </w:pPr>
      <w:rPr>
        <w:rFonts w:ascii="Wingdings" w:hAnsi="Wingdings" w:hint="default"/>
      </w:rPr>
    </w:lvl>
    <w:lvl w:ilvl="3" w:tplc="04210001">
      <w:start w:val="1"/>
      <w:numFmt w:val="bullet"/>
      <w:lvlText w:val=""/>
      <w:lvlJc w:val="left"/>
      <w:pPr>
        <w:ind w:left="3080" w:hanging="360"/>
      </w:pPr>
      <w:rPr>
        <w:rFonts w:ascii="Symbol" w:hAnsi="Symbol" w:hint="default"/>
      </w:rPr>
    </w:lvl>
    <w:lvl w:ilvl="4" w:tplc="04210003">
      <w:start w:val="1"/>
      <w:numFmt w:val="bullet"/>
      <w:lvlText w:val="o"/>
      <w:lvlJc w:val="left"/>
      <w:pPr>
        <w:ind w:left="3800" w:hanging="360"/>
      </w:pPr>
      <w:rPr>
        <w:rFonts w:ascii="Courier New" w:hAnsi="Courier New" w:cs="Courier New" w:hint="default"/>
      </w:rPr>
    </w:lvl>
    <w:lvl w:ilvl="5" w:tplc="04210005">
      <w:start w:val="1"/>
      <w:numFmt w:val="bullet"/>
      <w:lvlText w:val=""/>
      <w:lvlJc w:val="left"/>
      <w:pPr>
        <w:ind w:left="4520" w:hanging="360"/>
      </w:pPr>
      <w:rPr>
        <w:rFonts w:ascii="Wingdings" w:hAnsi="Wingdings" w:hint="default"/>
      </w:rPr>
    </w:lvl>
    <w:lvl w:ilvl="6" w:tplc="04210001">
      <w:start w:val="1"/>
      <w:numFmt w:val="bullet"/>
      <w:lvlText w:val=""/>
      <w:lvlJc w:val="left"/>
      <w:pPr>
        <w:ind w:left="5240" w:hanging="360"/>
      </w:pPr>
      <w:rPr>
        <w:rFonts w:ascii="Symbol" w:hAnsi="Symbol" w:hint="default"/>
      </w:rPr>
    </w:lvl>
    <w:lvl w:ilvl="7" w:tplc="04210003">
      <w:start w:val="1"/>
      <w:numFmt w:val="bullet"/>
      <w:lvlText w:val="o"/>
      <w:lvlJc w:val="left"/>
      <w:pPr>
        <w:ind w:left="5960" w:hanging="360"/>
      </w:pPr>
      <w:rPr>
        <w:rFonts w:ascii="Courier New" w:hAnsi="Courier New" w:cs="Courier New" w:hint="default"/>
      </w:rPr>
    </w:lvl>
    <w:lvl w:ilvl="8" w:tplc="04210005">
      <w:start w:val="1"/>
      <w:numFmt w:val="bullet"/>
      <w:lvlText w:val=""/>
      <w:lvlJc w:val="left"/>
      <w:pPr>
        <w:ind w:left="6680" w:hanging="360"/>
      </w:pPr>
      <w:rPr>
        <w:rFonts w:ascii="Wingdings" w:hAnsi="Wingdings" w:hint="default"/>
      </w:rPr>
    </w:lvl>
  </w:abstractNum>
  <w:abstractNum w:abstractNumId="7">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183DB3"/>
    <w:multiLevelType w:val="hybridMultilevel"/>
    <w:tmpl w:val="81089FF2"/>
    <w:lvl w:ilvl="0" w:tplc="0421000F">
      <w:start w:val="1"/>
      <w:numFmt w:val="decimal"/>
      <w:lvlText w:val="%1."/>
      <w:lvlJc w:val="left"/>
      <w:pPr>
        <w:ind w:left="920" w:hanging="360"/>
      </w:pPr>
    </w:lvl>
    <w:lvl w:ilvl="1" w:tplc="04210019">
      <w:start w:val="1"/>
      <w:numFmt w:val="lowerLetter"/>
      <w:lvlText w:val="%2."/>
      <w:lvlJc w:val="left"/>
      <w:pPr>
        <w:ind w:left="1640" w:hanging="360"/>
      </w:pPr>
    </w:lvl>
    <w:lvl w:ilvl="2" w:tplc="0421001B">
      <w:start w:val="1"/>
      <w:numFmt w:val="lowerRoman"/>
      <w:lvlText w:val="%3."/>
      <w:lvlJc w:val="right"/>
      <w:pPr>
        <w:ind w:left="2360" w:hanging="180"/>
      </w:pPr>
    </w:lvl>
    <w:lvl w:ilvl="3" w:tplc="0421000F">
      <w:start w:val="1"/>
      <w:numFmt w:val="decimal"/>
      <w:lvlText w:val="%4."/>
      <w:lvlJc w:val="left"/>
      <w:pPr>
        <w:ind w:left="3080" w:hanging="360"/>
      </w:pPr>
    </w:lvl>
    <w:lvl w:ilvl="4" w:tplc="04210019">
      <w:start w:val="1"/>
      <w:numFmt w:val="lowerLetter"/>
      <w:lvlText w:val="%5."/>
      <w:lvlJc w:val="left"/>
      <w:pPr>
        <w:ind w:left="3800" w:hanging="360"/>
      </w:pPr>
    </w:lvl>
    <w:lvl w:ilvl="5" w:tplc="0421001B">
      <w:start w:val="1"/>
      <w:numFmt w:val="lowerRoman"/>
      <w:lvlText w:val="%6."/>
      <w:lvlJc w:val="right"/>
      <w:pPr>
        <w:ind w:left="4520" w:hanging="180"/>
      </w:pPr>
    </w:lvl>
    <w:lvl w:ilvl="6" w:tplc="0421000F">
      <w:start w:val="1"/>
      <w:numFmt w:val="decimal"/>
      <w:lvlText w:val="%7."/>
      <w:lvlJc w:val="left"/>
      <w:pPr>
        <w:ind w:left="5240" w:hanging="360"/>
      </w:pPr>
    </w:lvl>
    <w:lvl w:ilvl="7" w:tplc="04210019">
      <w:start w:val="1"/>
      <w:numFmt w:val="lowerLetter"/>
      <w:lvlText w:val="%8."/>
      <w:lvlJc w:val="left"/>
      <w:pPr>
        <w:ind w:left="5960" w:hanging="360"/>
      </w:pPr>
    </w:lvl>
    <w:lvl w:ilvl="8" w:tplc="0421001B">
      <w:start w:val="1"/>
      <w:numFmt w:val="lowerRoman"/>
      <w:lvlText w:val="%9."/>
      <w:lvlJc w:val="right"/>
      <w:pPr>
        <w:ind w:left="6680" w:hanging="180"/>
      </w:pPr>
    </w:lvl>
  </w:abstractNum>
  <w:abstractNum w:abstractNumId="9">
    <w:nsid w:val="6C75005D"/>
    <w:multiLevelType w:val="hybridMultilevel"/>
    <w:tmpl w:val="93B0576C"/>
    <w:lvl w:ilvl="0" w:tplc="0421000F">
      <w:start w:val="1"/>
      <w:numFmt w:val="decimal"/>
      <w:lvlText w:val="%1."/>
      <w:lvlJc w:val="left"/>
      <w:pPr>
        <w:ind w:left="920" w:hanging="360"/>
      </w:pPr>
    </w:lvl>
    <w:lvl w:ilvl="1" w:tplc="04210003">
      <w:start w:val="1"/>
      <w:numFmt w:val="bullet"/>
      <w:lvlText w:val="o"/>
      <w:lvlJc w:val="left"/>
      <w:pPr>
        <w:ind w:left="1640" w:hanging="360"/>
      </w:pPr>
      <w:rPr>
        <w:rFonts w:ascii="Courier New" w:hAnsi="Courier New" w:cs="Courier New" w:hint="default"/>
      </w:rPr>
    </w:lvl>
    <w:lvl w:ilvl="2" w:tplc="04210005">
      <w:start w:val="1"/>
      <w:numFmt w:val="bullet"/>
      <w:lvlText w:val=""/>
      <w:lvlJc w:val="left"/>
      <w:pPr>
        <w:ind w:left="2360" w:hanging="360"/>
      </w:pPr>
      <w:rPr>
        <w:rFonts w:ascii="Wingdings" w:hAnsi="Wingdings" w:hint="default"/>
      </w:rPr>
    </w:lvl>
    <w:lvl w:ilvl="3" w:tplc="04210001">
      <w:start w:val="1"/>
      <w:numFmt w:val="bullet"/>
      <w:lvlText w:val=""/>
      <w:lvlJc w:val="left"/>
      <w:pPr>
        <w:ind w:left="3080" w:hanging="360"/>
      </w:pPr>
      <w:rPr>
        <w:rFonts w:ascii="Symbol" w:hAnsi="Symbol" w:hint="default"/>
      </w:rPr>
    </w:lvl>
    <w:lvl w:ilvl="4" w:tplc="04210003">
      <w:start w:val="1"/>
      <w:numFmt w:val="bullet"/>
      <w:lvlText w:val="o"/>
      <w:lvlJc w:val="left"/>
      <w:pPr>
        <w:ind w:left="3800" w:hanging="360"/>
      </w:pPr>
      <w:rPr>
        <w:rFonts w:ascii="Courier New" w:hAnsi="Courier New" w:cs="Courier New" w:hint="default"/>
      </w:rPr>
    </w:lvl>
    <w:lvl w:ilvl="5" w:tplc="04210005">
      <w:start w:val="1"/>
      <w:numFmt w:val="bullet"/>
      <w:lvlText w:val=""/>
      <w:lvlJc w:val="left"/>
      <w:pPr>
        <w:ind w:left="4520" w:hanging="360"/>
      </w:pPr>
      <w:rPr>
        <w:rFonts w:ascii="Wingdings" w:hAnsi="Wingdings" w:hint="default"/>
      </w:rPr>
    </w:lvl>
    <w:lvl w:ilvl="6" w:tplc="04210001">
      <w:start w:val="1"/>
      <w:numFmt w:val="bullet"/>
      <w:lvlText w:val=""/>
      <w:lvlJc w:val="left"/>
      <w:pPr>
        <w:ind w:left="5240" w:hanging="360"/>
      </w:pPr>
      <w:rPr>
        <w:rFonts w:ascii="Symbol" w:hAnsi="Symbol" w:hint="default"/>
      </w:rPr>
    </w:lvl>
    <w:lvl w:ilvl="7" w:tplc="04210003">
      <w:start w:val="1"/>
      <w:numFmt w:val="bullet"/>
      <w:lvlText w:val="o"/>
      <w:lvlJc w:val="left"/>
      <w:pPr>
        <w:ind w:left="5960" w:hanging="360"/>
      </w:pPr>
      <w:rPr>
        <w:rFonts w:ascii="Courier New" w:hAnsi="Courier New" w:cs="Courier New" w:hint="default"/>
      </w:rPr>
    </w:lvl>
    <w:lvl w:ilvl="8" w:tplc="04210005">
      <w:start w:val="1"/>
      <w:numFmt w:val="bullet"/>
      <w:lvlText w:val=""/>
      <w:lvlJc w:val="left"/>
      <w:pPr>
        <w:ind w:left="6680" w:hanging="360"/>
      </w:pPr>
      <w:rPr>
        <w:rFonts w:ascii="Wingdings" w:hAnsi="Wingdings" w:hint="default"/>
      </w:rPr>
    </w:lvl>
  </w:abstractNum>
  <w:abstractNum w:abstractNumId="10">
    <w:nsid w:val="765743E1"/>
    <w:multiLevelType w:val="hybridMultilevel"/>
    <w:tmpl w:val="93B0576C"/>
    <w:lvl w:ilvl="0" w:tplc="0421000F">
      <w:start w:val="1"/>
      <w:numFmt w:val="decimal"/>
      <w:lvlText w:val="%1."/>
      <w:lvlJc w:val="left"/>
      <w:pPr>
        <w:ind w:left="920" w:hanging="360"/>
      </w:pPr>
    </w:lvl>
    <w:lvl w:ilvl="1" w:tplc="04210003">
      <w:start w:val="1"/>
      <w:numFmt w:val="bullet"/>
      <w:lvlText w:val="o"/>
      <w:lvlJc w:val="left"/>
      <w:pPr>
        <w:ind w:left="1640" w:hanging="360"/>
      </w:pPr>
      <w:rPr>
        <w:rFonts w:ascii="Courier New" w:hAnsi="Courier New" w:cs="Courier New" w:hint="default"/>
      </w:rPr>
    </w:lvl>
    <w:lvl w:ilvl="2" w:tplc="04210005">
      <w:start w:val="1"/>
      <w:numFmt w:val="bullet"/>
      <w:lvlText w:val=""/>
      <w:lvlJc w:val="left"/>
      <w:pPr>
        <w:ind w:left="2360" w:hanging="360"/>
      </w:pPr>
      <w:rPr>
        <w:rFonts w:ascii="Wingdings" w:hAnsi="Wingdings" w:hint="default"/>
      </w:rPr>
    </w:lvl>
    <w:lvl w:ilvl="3" w:tplc="04210001">
      <w:start w:val="1"/>
      <w:numFmt w:val="bullet"/>
      <w:lvlText w:val=""/>
      <w:lvlJc w:val="left"/>
      <w:pPr>
        <w:ind w:left="3080" w:hanging="360"/>
      </w:pPr>
      <w:rPr>
        <w:rFonts w:ascii="Symbol" w:hAnsi="Symbol" w:hint="default"/>
      </w:rPr>
    </w:lvl>
    <w:lvl w:ilvl="4" w:tplc="04210003">
      <w:start w:val="1"/>
      <w:numFmt w:val="bullet"/>
      <w:lvlText w:val="o"/>
      <w:lvlJc w:val="left"/>
      <w:pPr>
        <w:ind w:left="3800" w:hanging="360"/>
      </w:pPr>
      <w:rPr>
        <w:rFonts w:ascii="Courier New" w:hAnsi="Courier New" w:cs="Courier New" w:hint="default"/>
      </w:rPr>
    </w:lvl>
    <w:lvl w:ilvl="5" w:tplc="04210005">
      <w:start w:val="1"/>
      <w:numFmt w:val="bullet"/>
      <w:lvlText w:val=""/>
      <w:lvlJc w:val="left"/>
      <w:pPr>
        <w:ind w:left="4520" w:hanging="360"/>
      </w:pPr>
      <w:rPr>
        <w:rFonts w:ascii="Wingdings" w:hAnsi="Wingdings" w:hint="default"/>
      </w:rPr>
    </w:lvl>
    <w:lvl w:ilvl="6" w:tplc="04210001">
      <w:start w:val="1"/>
      <w:numFmt w:val="bullet"/>
      <w:lvlText w:val=""/>
      <w:lvlJc w:val="left"/>
      <w:pPr>
        <w:ind w:left="5240" w:hanging="360"/>
      </w:pPr>
      <w:rPr>
        <w:rFonts w:ascii="Symbol" w:hAnsi="Symbol" w:hint="default"/>
      </w:rPr>
    </w:lvl>
    <w:lvl w:ilvl="7" w:tplc="04210003">
      <w:start w:val="1"/>
      <w:numFmt w:val="bullet"/>
      <w:lvlText w:val="o"/>
      <w:lvlJc w:val="left"/>
      <w:pPr>
        <w:ind w:left="5960" w:hanging="360"/>
      </w:pPr>
      <w:rPr>
        <w:rFonts w:ascii="Courier New" w:hAnsi="Courier New" w:cs="Courier New" w:hint="default"/>
      </w:rPr>
    </w:lvl>
    <w:lvl w:ilvl="8" w:tplc="04210005">
      <w:start w:val="1"/>
      <w:numFmt w:val="bullet"/>
      <w:lvlText w:val=""/>
      <w:lvlJc w:val="left"/>
      <w:pPr>
        <w:ind w:left="6680"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10"/>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4"/>
    <w:lvlOverride w:ilvl="0">
      <w:startOverride w:val="1"/>
    </w:lvlOverride>
    <w:lvlOverride w:ilvl="1"/>
    <w:lvlOverride w:ilvl="2"/>
    <w:lvlOverride w:ilvl="3"/>
    <w:lvlOverride w:ilvl="4"/>
    <w:lvlOverride w:ilvl="5"/>
    <w:lvlOverride w:ilvl="6"/>
    <w:lvlOverride w:ilvl="7"/>
    <w:lvlOverride w:ilvl="8"/>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mirrorMargins/>
  <w:defaultTabStop w:val="720"/>
  <w:evenAndOddHeaders/>
  <w:drawingGridHorizontalSpacing w:val="11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D73172"/>
    <w:rsid w:val="00010C81"/>
    <w:rsid w:val="00017BCC"/>
    <w:rsid w:val="00024A58"/>
    <w:rsid w:val="00032073"/>
    <w:rsid w:val="00097FAF"/>
    <w:rsid w:val="000C7281"/>
    <w:rsid w:val="00136193"/>
    <w:rsid w:val="001419FC"/>
    <w:rsid w:val="00141B10"/>
    <w:rsid w:val="00150D16"/>
    <w:rsid w:val="00172522"/>
    <w:rsid w:val="001D4F7A"/>
    <w:rsid w:val="001F13AB"/>
    <w:rsid w:val="002006E1"/>
    <w:rsid w:val="00201B74"/>
    <w:rsid w:val="00203B5F"/>
    <w:rsid w:val="0021008A"/>
    <w:rsid w:val="00214280"/>
    <w:rsid w:val="00220AAF"/>
    <w:rsid w:val="002241B8"/>
    <w:rsid w:val="00226989"/>
    <w:rsid w:val="002318A5"/>
    <w:rsid w:val="00240055"/>
    <w:rsid w:val="0026234A"/>
    <w:rsid w:val="002F3FA6"/>
    <w:rsid w:val="00307AC7"/>
    <w:rsid w:val="00324AFE"/>
    <w:rsid w:val="00336B34"/>
    <w:rsid w:val="003451AD"/>
    <w:rsid w:val="004013F0"/>
    <w:rsid w:val="00445248"/>
    <w:rsid w:val="004561BE"/>
    <w:rsid w:val="004563FB"/>
    <w:rsid w:val="00467D33"/>
    <w:rsid w:val="00482F53"/>
    <w:rsid w:val="004A6B49"/>
    <w:rsid w:val="004C5327"/>
    <w:rsid w:val="00541D2A"/>
    <w:rsid w:val="00580208"/>
    <w:rsid w:val="005A18C8"/>
    <w:rsid w:val="005C37EA"/>
    <w:rsid w:val="005E0159"/>
    <w:rsid w:val="005E530F"/>
    <w:rsid w:val="006048B8"/>
    <w:rsid w:val="00612CF4"/>
    <w:rsid w:val="006459CF"/>
    <w:rsid w:val="0065308C"/>
    <w:rsid w:val="006636B1"/>
    <w:rsid w:val="00670614"/>
    <w:rsid w:val="006D53CE"/>
    <w:rsid w:val="00711C4D"/>
    <w:rsid w:val="00713DE3"/>
    <w:rsid w:val="00713F5B"/>
    <w:rsid w:val="0073454B"/>
    <w:rsid w:val="007349A7"/>
    <w:rsid w:val="007432C2"/>
    <w:rsid w:val="00757B85"/>
    <w:rsid w:val="00794D6C"/>
    <w:rsid w:val="00795670"/>
    <w:rsid w:val="007A0CBD"/>
    <w:rsid w:val="007D1129"/>
    <w:rsid w:val="007F3CF3"/>
    <w:rsid w:val="0080184F"/>
    <w:rsid w:val="0084586B"/>
    <w:rsid w:val="00876F86"/>
    <w:rsid w:val="008964A4"/>
    <w:rsid w:val="008B6850"/>
    <w:rsid w:val="00915E57"/>
    <w:rsid w:val="009243FC"/>
    <w:rsid w:val="009316D9"/>
    <w:rsid w:val="009331BC"/>
    <w:rsid w:val="0099047D"/>
    <w:rsid w:val="00992B6D"/>
    <w:rsid w:val="009D4C59"/>
    <w:rsid w:val="009F2240"/>
    <w:rsid w:val="009F3609"/>
    <w:rsid w:val="00A03ECE"/>
    <w:rsid w:val="00A56E67"/>
    <w:rsid w:val="00A72B34"/>
    <w:rsid w:val="00AD6B26"/>
    <w:rsid w:val="00AE435A"/>
    <w:rsid w:val="00B178C0"/>
    <w:rsid w:val="00BA71B5"/>
    <w:rsid w:val="00BC782F"/>
    <w:rsid w:val="00BD4300"/>
    <w:rsid w:val="00BE5E04"/>
    <w:rsid w:val="00BE7B73"/>
    <w:rsid w:val="00C35CDC"/>
    <w:rsid w:val="00C42E54"/>
    <w:rsid w:val="00C53CB2"/>
    <w:rsid w:val="00CA633C"/>
    <w:rsid w:val="00D2462E"/>
    <w:rsid w:val="00D500E1"/>
    <w:rsid w:val="00D73172"/>
    <w:rsid w:val="00DB5735"/>
    <w:rsid w:val="00DC09AC"/>
    <w:rsid w:val="00DD48A1"/>
    <w:rsid w:val="00DE4AF3"/>
    <w:rsid w:val="00E226DA"/>
    <w:rsid w:val="00E501F4"/>
    <w:rsid w:val="00EB06C7"/>
    <w:rsid w:val="00ED52C1"/>
    <w:rsid w:val="00EF0E52"/>
    <w:rsid w:val="00F007C5"/>
    <w:rsid w:val="00F0081E"/>
    <w:rsid w:val="00F01E62"/>
    <w:rsid w:val="00F22146"/>
    <w:rsid w:val="00F41C66"/>
    <w:rsid w:val="00F50430"/>
    <w:rsid w:val="00F51B6E"/>
    <w:rsid w:val="00F54EC7"/>
    <w:rsid w:val="00F7073A"/>
    <w:rsid w:val="00F71D45"/>
    <w:rsid w:val="00FA7CEB"/>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odyTextIndent2">
    <w:name w:val="Body Text Indent 2"/>
    <w:basedOn w:val="Normal"/>
    <w:link w:val="BodyTextIndent2Char"/>
    <w:uiPriority w:val="99"/>
    <w:semiHidden/>
    <w:unhideWhenUsed/>
    <w:rsid w:val="005A18C8"/>
    <w:pPr>
      <w:spacing w:after="120" w:line="480" w:lineRule="auto"/>
      <w:ind w:left="283"/>
    </w:pPr>
  </w:style>
  <w:style w:type="character" w:customStyle="1" w:styleId="BodyTextIndent2Char">
    <w:name w:val="Body Text Indent 2 Char"/>
    <w:basedOn w:val="DefaultParagraphFont"/>
    <w:link w:val="BodyTextIndent2"/>
    <w:uiPriority w:val="99"/>
    <w:semiHidden/>
    <w:rsid w:val="005A18C8"/>
    <w:rPr>
      <w:rFonts w:eastAsia="Times New Roman"/>
      <w:szCs w:val="20"/>
    </w:rPr>
  </w:style>
  <w:style w:type="paragraph" w:styleId="Subtitle">
    <w:name w:val="Subtitle"/>
    <w:basedOn w:val="Normal"/>
    <w:link w:val="SubtitleChar"/>
    <w:qFormat/>
    <w:rsid w:val="00172522"/>
    <w:pPr>
      <w:spacing w:line="480" w:lineRule="auto"/>
      <w:jc w:val="center"/>
    </w:pPr>
    <w:rPr>
      <w:b/>
      <w:bCs/>
      <w:szCs w:val="24"/>
      <w:lang w:val="id-ID" w:eastAsia="id-ID"/>
    </w:rPr>
  </w:style>
  <w:style w:type="character" w:customStyle="1" w:styleId="SubtitleChar">
    <w:name w:val="Subtitle Char"/>
    <w:basedOn w:val="DefaultParagraphFont"/>
    <w:link w:val="Subtitle"/>
    <w:rsid w:val="00172522"/>
    <w:rPr>
      <w:rFonts w:eastAsia="Times New Roman"/>
      <w:b/>
      <w:bCs/>
      <w:lang w:val="id-ID" w:eastAsia="id-ID"/>
    </w:rPr>
  </w:style>
</w:styles>
</file>

<file path=word/webSettings.xml><?xml version="1.0" encoding="utf-8"?>
<w:webSettings xmlns:r="http://schemas.openxmlformats.org/officeDocument/2006/relationships" xmlns:w="http://schemas.openxmlformats.org/wordprocessingml/2006/main">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ni_edy@yahoo.co.id"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ps.go.id/"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dahsusilowati@undip.ac.id" TargetMode="External"/><Relationship Id="rId14" Type="http://schemas.openxmlformats.org/officeDocument/2006/relationships/hyperlink" Target="https://www.researchgate.net/publication/237727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0E4D8-3483-4B05-BE6D-8196837F5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7796</Words>
  <Characters>44440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Idul_TM</cp:lastModifiedBy>
  <cp:revision>3</cp:revision>
  <dcterms:created xsi:type="dcterms:W3CDTF">2018-10-20T02:05:00Z</dcterms:created>
  <dcterms:modified xsi:type="dcterms:W3CDTF">2018-10-20T05:09:00Z</dcterms:modified>
</cp:coreProperties>
</file>