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5C7" w:rsidRPr="00832ECC" w:rsidRDefault="002624A4" w:rsidP="009675C7">
      <w:pPr>
        <w:pStyle w:val="StyleTitle"/>
        <w:rPr>
          <w:rFonts w:cs="Times New Roman"/>
          <w:szCs w:val="24"/>
        </w:rPr>
      </w:pPr>
      <w:r>
        <w:rPr>
          <w:rFonts w:cs="Times New Roman"/>
          <w:szCs w:val="24"/>
          <w:lang w:val="en-US"/>
        </w:rPr>
        <w:t>Hambatan Akses Informasi Kesehatan Reproduksi Pada Mahasiswa Kesehatan Universitas Muhammadiyah Surakarta</w:t>
      </w:r>
    </w:p>
    <w:p w:rsidR="004427F7" w:rsidRPr="00F56C23" w:rsidRDefault="004427F7" w:rsidP="00F56C23">
      <w:pPr>
        <w:spacing w:after="0" w:line="240" w:lineRule="auto"/>
        <w:contextualSpacing/>
        <w:jc w:val="center"/>
        <w:rPr>
          <w:rFonts w:ascii="Times New Roman" w:hAnsi="Times New Roman"/>
          <w:b/>
          <w:sz w:val="24"/>
          <w:szCs w:val="24"/>
        </w:rPr>
      </w:pPr>
    </w:p>
    <w:p w:rsidR="004427F7" w:rsidRPr="00F56C23" w:rsidRDefault="003E603A" w:rsidP="00F56C23">
      <w:pPr>
        <w:spacing w:after="0" w:line="240" w:lineRule="auto"/>
        <w:contextualSpacing/>
        <w:jc w:val="center"/>
        <w:rPr>
          <w:rFonts w:ascii="Times New Roman" w:hAnsi="Times New Roman"/>
          <w:b/>
          <w:sz w:val="24"/>
          <w:szCs w:val="24"/>
          <w:vertAlign w:val="superscript"/>
        </w:rPr>
      </w:pPr>
      <w:r>
        <w:rPr>
          <w:rFonts w:ascii="Times New Roman" w:hAnsi="Times New Roman"/>
          <w:b/>
          <w:sz w:val="24"/>
          <w:szCs w:val="24"/>
        </w:rPr>
        <w:t>Izzatul Arifah</w:t>
      </w:r>
      <w:r w:rsidR="00F56C23">
        <w:rPr>
          <w:rFonts w:ascii="Times New Roman" w:hAnsi="Times New Roman"/>
          <w:b/>
          <w:sz w:val="24"/>
          <w:szCs w:val="24"/>
          <w:vertAlign w:val="superscript"/>
        </w:rPr>
        <w:t>1</w:t>
      </w:r>
      <w:r w:rsidR="00F56C23">
        <w:rPr>
          <w:rFonts w:ascii="Times New Roman" w:hAnsi="Times New Roman"/>
          <w:b/>
          <w:sz w:val="24"/>
          <w:szCs w:val="24"/>
        </w:rPr>
        <w:t xml:space="preserve">, </w:t>
      </w:r>
      <w:r>
        <w:rPr>
          <w:rFonts w:ascii="Times New Roman" w:hAnsi="Times New Roman"/>
          <w:b/>
          <w:sz w:val="24"/>
          <w:szCs w:val="24"/>
          <w:lang w:val="en-US"/>
        </w:rPr>
        <w:t>Meutia Fildzah Sharfina</w:t>
      </w:r>
      <w:r w:rsidR="00F56C23">
        <w:rPr>
          <w:rFonts w:ascii="Times New Roman" w:hAnsi="Times New Roman"/>
          <w:b/>
          <w:sz w:val="24"/>
          <w:szCs w:val="24"/>
          <w:vertAlign w:val="superscript"/>
        </w:rPr>
        <w:t>2</w:t>
      </w:r>
      <w:r w:rsidR="009675C7">
        <w:rPr>
          <w:rFonts w:ascii="Times New Roman" w:hAnsi="Times New Roman"/>
          <w:b/>
          <w:sz w:val="24"/>
          <w:szCs w:val="24"/>
          <w:vertAlign w:val="superscript"/>
        </w:rPr>
        <w:t>*</w:t>
      </w:r>
    </w:p>
    <w:p w:rsidR="004427F7" w:rsidRPr="00F56C23" w:rsidRDefault="004427F7" w:rsidP="00F56C23">
      <w:pPr>
        <w:spacing w:after="0" w:line="240" w:lineRule="auto"/>
        <w:contextualSpacing/>
        <w:jc w:val="center"/>
        <w:rPr>
          <w:rFonts w:ascii="Times New Roman" w:hAnsi="Times New Roman"/>
          <w:b/>
          <w:sz w:val="24"/>
          <w:szCs w:val="24"/>
        </w:rPr>
      </w:pPr>
    </w:p>
    <w:p w:rsidR="00D91852" w:rsidRDefault="00F56C23" w:rsidP="00F56C23">
      <w:pPr>
        <w:pStyle w:val="NoSpacing"/>
        <w:contextualSpacing/>
        <w:jc w:val="center"/>
        <w:rPr>
          <w:rFonts w:ascii="Times New Roman" w:hAnsi="Times New Roman"/>
          <w:sz w:val="24"/>
          <w:szCs w:val="24"/>
        </w:rPr>
      </w:pPr>
      <w:r w:rsidRPr="00A42B7E">
        <w:rPr>
          <w:rFonts w:ascii="Times New Roman" w:hAnsi="Times New Roman"/>
          <w:sz w:val="24"/>
          <w:szCs w:val="24"/>
          <w:vertAlign w:val="superscript"/>
        </w:rPr>
        <w:t>1</w:t>
      </w:r>
      <w:r w:rsidR="003E603A">
        <w:rPr>
          <w:rFonts w:ascii="Times New Roman" w:hAnsi="Times New Roman"/>
          <w:sz w:val="24"/>
          <w:szCs w:val="24"/>
        </w:rPr>
        <w:t>Prodi Kesehatan Masyarakat FIK UMS</w:t>
      </w:r>
    </w:p>
    <w:p w:rsidR="00F56C23" w:rsidRDefault="00F56C23" w:rsidP="00F56C23">
      <w:pPr>
        <w:pStyle w:val="NoSpacing"/>
        <w:contextualSpacing/>
        <w:jc w:val="center"/>
        <w:rPr>
          <w:rFonts w:ascii="Times New Roman" w:hAnsi="Times New Roman"/>
          <w:sz w:val="24"/>
          <w:szCs w:val="24"/>
        </w:rPr>
      </w:pPr>
      <w:r>
        <w:rPr>
          <w:rFonts w:ascii="Times New Roman" w:hAnsi="Times New Roman"/>
          <w:sz w:val="24"/>
          <w:szCs w:val="24"/>
        </w:rPr>
        <w:t xml:space="preserve"> Email</w:t>
      </w:r>
      <w:r w:rsidRPr="00A42B7E">
        <w:rPr>
          <w:rFonts w:ascii="Times New Roman" w:hAnsi="Times New Roman"/>
          <w:sz w:val="24"/>
          <w:szCs w:val="24"/>
        </w:rPr>
        <w:t>:</w:t>
      </w:r>
      <w:r>
        <w:rPr>
          <w:rFonts w:ascii="Times New Roman" w:hAnsi="Times New Roman"/>
          <w:sz w:val="24"/>
          <w:szCs w:val="24"/>
          <w:vertAlign w:val="superscript"/>
        </w:rPr>
        <w:t>1</w:t>
      </w:r>
      <w:r w:rsidR="003E603A">
        <w:rPr>
          <w:rFonts w:ascii="Times New Roman" w:hAnsi="Times New Roman"/>
          <w:sz w:val="24"/>
          <w:szCs w:val="24"/>
        </w:rPr>
        <w:t>ia523</w:t>
      </w:r>
      <w:r w:rsidR="00D91852">
        <w:rPr>
          <w:rFonts w:ascii="Times New Roman" w:hAnsi="Times New Roman"/>
          <w:sz w:val="24"/>
          <w:szCs w:val="24"/>
        </w:rPr>
        <w:t>@</w:t>
      </w:r>
      <w:r w:rsidR="009675C7">
        <w:rPr>
          <w:rFonts w:ascii="Times New Roman" w:hAnsi="Times New Roman"/>
          <w:sz w:val="24"/>
          <w:szCs w:val="24"/>
        </w:rPr>
        <w:t>ums.ac.id</w:t>
      </w:r>
    </w:p>
    <w:p w:rsidR="00263649" w:rsidRDefault="00355A3D" w:rsidP="00F56C23">
      <w:pPr>
        <w:spacing w:after="0" w:line="240" w:lineRule="auto"/>
        <w:contextualSpacing/>
        <w:jc w:val="center"/>
        <w:rPr>
          <w:rFonts w:ascii="Times New Roman" w:hAnsi="Times New Roman"/>
          <w:sz w:val="24"/>
          <w:szCs w:val="24"/>
        </w:rPr>
      </w:pPr>
      <w:r>
        <w:rPr>
          <w:rFonts w:ascii="Times New Roman" w:hAnsi="Times New Roman"/>
          <w:sz w:val="24"/>
          <w:szCs w:val="24"/>
          <w:vertAlign w:val="superscript"/>
        </w:rPr>
        <w:t>2</w:t>
      </w:r>
      <w:r w:rsidR="003E603A">
        <w:rPr>
          <w:rFonts w:ascii="Times New Roman" w:hAnsi="Times New Roman"/>
          <w:sz w:val="24"/>
          <w:szCs w:val="24"/>
        </w:rPr>
        <w:t>Mahasiswa Prodi Kesehatan Masyarakat FIK UMS</w:t>
      </w:r>
    </w:p>
    <w:p w:rsidR="00F56C23" w:rsidRPr="001E366B" w:rsidRDefault="00F56C23" w:rsidP="00F56C23">
      <w:pPr>
        <w:spacing w:after="0" w:line="240" w:lineRule="auto"/>
        <w:contextualSpacing/>
        <w:jc w:val="center"/>
        <w:rPr>
          <w:rFonts w:ascii="Times New Roman" w:hAnsi="Times New Roman"/>
          <w:sz w:val="24"/>
          <w:szCs w:val="24"/>
          <w:lang w:val="en-US"/>
        </w:rPr>
      </w:pPr>
      <w:r w:rsidRPr="00F56C23">
        <w:rPr>
          <w:rFonts w:ascii="Times New Roman" w:hAnsi="Times New Roman"/>
          <w:sz w:val="24"/>
          <w:szCs w:val="24"/>
        </w:rPr>
        <w:t xml:space="preserve">Email: </w:t>
      </w:r>
      <w:r w:rsidRPr="009675C7">
        <w:rPr>
          <w:rFonts w:ascii="Times New Roman" w:hAnsi="Times New Roman"/>
          <w:sz w:val="24"/>
          <w:szCs w:val="24"/>
          <w:vertAlign w:val="superscript"/>
        </w:rPr>
        <w:t>2</w:t>
      </w:r>
      <w:hyperlink r:id="rId8" w:history="1">
        <w:r w:rsidR="003E603A" w:rsidRPr="00352A90">
          <w:rPr>
            <w:rStyle w:val="Hyperlink"/>
            <w:rFonts w:ascii="Times New Roman" w:hAnsi="Times New Roman"/>
            <w:lang w:val="en-US"/>
          </w:rPr>
          <w:t>Meutiafildzah</w:t>
        </w:r>
        <w:r w:rsidR="003E603A" w:rsidRPr="00352A90">
          <w:rPr>
            <w:rStyle w:val="Hyperlink"/>
            <w:rFonts w:ascii="Times New Roman" w:hAnsi="Times New Roman"/>
            <w:sz w:val="24"/>
            <w:szCs w:val="24"/>
          </w:rPr>
          <w:t>@</w:t>
        </w:r>
        <w:r w:rsidR="003E603A" w:rsidRPr="00352A90">
          <w:rPr>
            <w:rStyle w:val="Hyperlink"/>
            <w:rFonts w:ascii="Times New Roman" w:hAnsi="Times New Roman"/>
            <w:sz w:val="24"/>
            <w:szCs w:val="24"/>
            <w:lang w:val="en-US"/>
          </w:rPr>
          <w:t>gmail.com</w:t>
        </w:r>
      </w:hyperlink>
      <w:r w:rsidRPr="009675C7">
        <w:rPr>
          <w:rFonts w:ascii="Times New Roman" w:hAnsi="Times New Roman"/>
          <w:sz w:val="24"/>
          <w:szCs w:val="24"/>
        </w:rPr>
        <w:t xml:space="preserve">, </w:t>
      </w:r>
    </w:p>
    <w:p w:rsidR="00CB612C" w:rsidRPr="00F56C23" w:rsidRDefault="00CB612C" w:rsidP="00F56C23">
      <w:pPr>
        <w:spacing w:after="0" w:line="240" w:lineRule="auto"/>
        <w:contextualSpacing/>
        <w:jc w:val="center"/>
        <w:rPr>
          <w:rFonts w:ascii="Times New Roman" w:hAnsi="Times New Roman"/>
          <w:sz w:val="24"/>
          <w:szCs w:val="24"/>
        </w:rPr>
      </w:pPr>
    </w:p>
    <w:p w:rsidR="00CB612C" w:rsidRPr="00D91852" w:rsidRDefault="00CB612C" w:rsidP="00D91852">
      <w:pPr>
        <w:spacing w:after="0" w:line="240" w:lineRule="auto"/>
        <w:ind w:left="851" w:right="849"/>
        <w:contextualSpacing/>
        <w:jc w:val="center"/>
        <w:rPr>
          <w:rFonts w:ascii="Times New Roman" w:hAnsi="Times New Roman"/>
          <w:b/>
          <w:sz w:val="24"/>
          <w:szCs w:val="24"/>
        </w:rPr>
      </w:pPr>
      <w:r w:rsidRPr="00D91852">
        <w:rPr>
          <w:rFonts w:ascii="Times New Roman" w:hAnsi="Times New Roman"/>
          <w:b/>
          <w:sz w:val="24"/>
          <w:szCs w:val="24"/>
        </w:rPr>
        <w:t>Abstrak</w:t>
      </w:r>
    </w:p>
    <w:p w:rsidR="00BC3DF1" w:rsidRDefault="009C5644" w:rsidP="00FC393B">
      <w:pPr>
        <w:spacing w:after="0" w:line="240" w:lineRule="auto"/>
        <w:ind w:left="851" w:right="849"/>
        <w:contextualSpacing/>
        <w:jc w:val="both"/>
        <w:rPr>
          <w:rFonts w:ascii="Times New Roman" w:hAnsi="Times New Roman"/>
          <w:sz w:val="24"/>
          <w:szCs w:val="24"/>
          <w:lang w:val="en-US"/>
        </w:rPr>
      </w:pPr>
      <w:r>
        <w:rPr>
          <w:rFonts w:ascii="Times New Roman" w:hAnsi="Times New Roman"/>
          <w:sz w:val="24"/>
          <w:szCs w:val="24"/>
          <w:lang w:val="en-US"/>
        </w:rPr>
        <w:t>Ketersediaan pelayanan dan adanya kebutuhan untuk mengakses informasi saja belum dapat meningkatkan akses jika remaja masih mengalami berbagai hambatan akses. Penelitian bertujuan untuk mengetahui hubungan hambatan akses</w:t>
      </w:r>
      <w:r w:rsidR="00217DD7">
        <w:rPr>
          <w:rFonts w:ascii="Times New Roman" w:hAnsi="Times New Roman"/>
          <w:sz w:val="24"/>
          <w:szCs w:val="24"/>
          <w:lang w:val="en-US"/>
        </w:rPr>
        <w:t xml:space="preserve"> kognitif</w:t>
      </w:r>
      <w:r>
        <w:rPr>
          <w:rFonts w:ascii="Times New Roman" w:hAnsi="Times New Roman"/>
          <w:sz w:val="24"/>
          <w:szCs w:val="24"/>
          <w:lang w:val="en-US"/>
        </w:rPr>
        <w:t xml:space="preserve"> dengan akses informasi kesehatan reproduksi</w:t>
      </w:r>
      <w:r w:rsidR="002A00A1">
        <w:rPr>
          <w:rFonts w:ascii="Times New Roman" w:hAnsi="Times New Roman"/>
          <w:sz w:val="24"/>
          <w:szCs w:val="24"/>
          <w:lang w:val="en-US"/>
        </w:rPr>
        <w:t xml:space="preserve"> pada mahasiswa</w:t>
      </w:r>
      <w:r>
        <w:rPr>
          <w:rFonts w:ascii="Times New Roman" w:hAnsi="Times New Roman"/>
          <w:sz w:val="24"/>
          <w:szCs w:val="24"/>
          <w:lang w:val="en-US"/>
        </w:rPr>
        <w:t>.</w:t>
      </w:r>
      <w:r w:rsidR="007A43AE">
        <w:rPr>
          <w:rFonts w:ascii="Times New Roman" w:hAnsi="Times New Roman"/>
          <w:sz w:val="24"/>
          <w:szCs w:val="24"/>
          <w:lang w:val="en-US"/>
        </w:rPr>
        <w:t>D</w:t>
      </w:r>
      <w:r w:rsidR="007A43AE" w:rsidRPr="00F24460">
        <w:rPr>
          <w:rFonts w:ascii="Times New Roman" w:hAnsi="Times New Roman"/>
          <w:sz w:val="24"/>
          <w:szCs w:val="24"/>
        </w:rPr>
        <w:t>esain penelitian observasional</w:t>
      </w:r>
      <w:r w:rsidR="007A43AE">
        <w:rPr>
          <w:rFonts w:ascii="Times New Roman" w:hAnsi="Times New Roman"/>
          <w:sz w:val="24"/>
          <w:szCs w:val="24"/>
          <w:lang w:val="en-US"/>
        </w:rPr>
        <w:t xml:space="preserve"> dengan</w:t>
      </w:r>
      <w:r w:rsidR="007A43AE" w:rsidRPr="00F24460">
        <w:rPr>
          <w:rFonts w:ascii="Times New Roman" w:hAnsi="Times New Roman"/>
          <w:sz w:val="24"/>
          <w:szCs w:val="24"/>
        </w:rPr>
        <w:t xml:space="preserve"> pendekatan </w:t>
      </w:r>
      <w:r w:rsidR="007A43AE" w:rsidRPr="00F24460">
        <w:rPr>
          <w:rFonts w:ascii="Times New Roman" w:hAnsi="Times New Roman"/>
          <w:i/>
          <w:sz w:val="24"/>
          <w:szCs w:val="24"/>
        </w:rPr>
        <w:t>cross-sectional</w:t>
      </w:r>
      <w:r w:rsidR="007A43AE">
        <w:rPr>
          <w:rFonts w:ascii="Times New Roman" w:hAnsi="Times New Roman"/>
          <w:sz w:val="24"/>
          <w:szCs w:val="24"/>
        </w:rPr>
        <w:t xml:space="preserve">. </w:t>
      </w:r>
      <w:r w:rsidR="007A43AE">
        <w:rPr>
          <w:rFonts w:ascii="Times New Roman" w:hAnsi="Times New Roman"/>
          <w:sz w:val="24"/>
          <w:szCs w:val="24"/>
          <w:lang w:val="en-US"/>
        </w:rPr>
        <w:t xml:space="preserve">Sampel penelitian </w:t>
      </w:r>
      <w:r w:rsidR="00217DD7">
        <w:rPr>
          <w:rFonts w:ascii="Times New Roman" w:hAnsi="Times New Roman"/>
          <w:sz w:val="24"/>
          <w:szCs w:val="24"/>
          <w:lang w:val="en-US"/>
        </w:rPr>
        <w:t xml:space="preserve">adalah mahasiswa fakultas-fakultas kesehatan (FIK Farmasi, kedokteran dan kedokteran gigi) di Universitas Muhammadiyah Surakarta </w:t>
      </w:r>
      <w:r w:rsidR="007A43AE">
        <w:rPr>
          <w:rFonts w:ascii="Times New Roman" w:hAnsi="Times New Roman"/>
          <w:sz w:val="24"/>
          <w:szCs w:val="24"/>
          <w:lang w:val="en-US"/>
        </w:rPr>
        <w:t>berjumlah 280 responden. Pengambilan sampel meng</w:t>
      </w:r>
      <w:r w:rsidR="007A43AE">
        <w:rPr>
          <w:rFonts w:ascii="Times New Roman" w:hAnsi="Times New Roman"/>
          <w:sz w:val="24"/>
          <w:szCs w:val="24"/>
        </w:rPr>
        <w:t>gunakan teknik</w:t>
      </w:r>
      <w:r w:rsidR="007A43AE" w:rsidRPr="00F24460">
        <w:rPr>
          <w:rFonts w:ascii="Times New Roman" w:hAnsi="Times New Roman"/>
          <w:i/>
          <w:sz w:val="24"/>
          <w:szCs w:val="24"/>
        </w:rPr>
        <w:t>Proportional Random Sampling</w:t>
      </w:r>
      <w:r w:rsidR="007A43AE">
        <w:rPr>
          <w:rFonts w:ascii="Times New Roman" w:hAnsi="Times New Roman"/>
          <w:sz w:val="24"/>
          <w:szCs w:val="24"/>
          <w:lang w:val="en-US"/>
        </w:rPr>
        <w:t xml:space="preserve">. Instrumen penelitian berupa </w:t>
      </w:r>
      <w:r w:rsidR="007A43AE" w:rsidRPr="001D5502">
        <w:rPr>
          <w:rFonts w:ascii="Times New Roman" w:hAnsi="Times New Roman"/>
          <w:i/>
          <w:sz w:val="24"/>
          <w:szCs w:val="24"/>
          <w:lang w:val="en-US"/>
        </w:rPr>
        <w:t>self- administered</w:t>
      </w:r>
      <w:r w:rsidR="007A43AE">
        <w:rPr>
          <w:rFonts w:ascii="Times New Roman" w:hAnsi="Times New Roman"/>
          <w:sz w:val="24"/>
          <w:szCs w:val="24"/>
          <w:lang w:val="en-US"/>
        </w:rPr>
        <w:t xml:space="preserve"> kuesioner yang sudah diuji validitas dan reliabilitas. Analisis data </w:t>
      </w:r>
      <w:r w:rsidR="007A43AE" w:rsidRPr="001D5502">
        <w:rPr>
          <w:rFonts w:ascii="Times New Roman" w:hAnsi="Times New Roman"/>
          <w:sz w:val="24"/>
          <w:szCs w:val="24"/>
          <w:lang w:val="en-US"/>
        </w:rPr>
        <w:t>meliputi analisis bivariabel</w:t>
      </w:r>
      <w:r w:rsidR="00217DD7">
        <w:rPr>
          <w:rFonts w:ascii="Times New Roman" w:hAnsi="Times New Roman"/>
          <w:sz w:val="24"/>
          <w:szCs w:val="24"/>
          <w:lang w:val="en-US"/>
        </w:rPr>
        <w:t xml:space="preserve"> dengan</w:t>
      </w:r>
      <w:r w:rsidR="007A43AE" w:rsidRPr="001D5502">
        <w:rPr>
          <w:rFonts w:ascii="Times New Roman" w:hAnsi="Times New Roman"/>
          <w:sz w:val="24"/>
          <w:szCs w:val="24"/>
          <w:lang w:val="en-US"/>
        </w:rPr>
        <w:t xml:space="preserve"> uji statistik Chi-Square </w:t>
      </w:r>
      <w:r w:rsidR="007A43AE">
        <w:rPr>
          <w:rFonts w:ascii="Times New Roman" w:hAnsi="Times New Roman"/>
          <w:sz w:val="24"/>
          <w:szCs w:val="24"/>
          <w:lang w:val="en-US"/>
        </w:rPr>
        <w:t>dan analisis multivariabel</w:t>
      </w:r>
      <w:r w:rsidR="007A43AE" w:rsidRPr="001D5502">
        <w:rPr>
          <w:rFonts w:ascii="Times New Roman" w:hAnsi="Times New Roman"/>
          <w:sz w:val="24"/>
          <w:szCs w:val="24"/>
          <w:lang w:val="en-US"/>
        </w:rPr>
        <w:t xml:space="preserve"> menggunakan uji regresi logistic dengan dengan</w:t>
      </w:r>
      <w:r w:rsidR="00217DD7">
        <w:rPr>
          <w:rFonts w:ascii="Times New Roman" w:hAnsi="Times New Roman"/>
          <w:sz w:val="24"/>
          <w:szCs w:val="24"/>
          <w:lang w:val="en-US"/>
        </w:rPr>
        <w:t xml:space="preserve"> tingkat</w:t>
      </w:r>
      <w:r w:rsidR="007A43AE" w:rsidRPr="001D5502">
        <w:rPr>
          <w:rFonts w:ascii="Times New Roman" w:hAnsi="Times New Roman"/>
          <w:sz w:val="24"/>
          <w:szCs w:val="24"/>
          <w:lang w:val="en-US"/>
        </w:rPr>
        <w:t xml:space="preserve"> kemaknaan 95%</w:t>
      </w:r>
      <w:r w:rsidR="007A43AE">
        <w:rPr>
          <w:rFonts w:ascii="Times New Roman" w:hAnsi="Times New Roman"/>
          <w:sz w:val="24"/>
          <w:szCs w:val="24"/>
          <w:lang w:val="en-US"/>
        </w:rPr>
        <w:t xml:space="preserve">. </w:t>
      </w:r>
      <w:r w:rsidR="00BC3DF1">
        <w:rPr>
          <w:rFonts w:ascii="Times New Roman" w:hAnsi="Times New Roman"/>
          <w:sz w:val="24"/>
          <w:szCs w:val="24"/>
          <w:lang w:val="en-US"/>
        </w:rPr>
        <w:t xml:space="preserve">Analisis </w:t>
      </w:r>
      <w:r w:rsidR="00FC393B">
        <w:rPr>
          <w:rFonts w:ascii="Times New Roman" w:hAnsi="Times New Roman"/>
          <w:sz w:val="24"/>
          <w:szCs w:val="24"/>
          <w:lang w:val="en-US"/>
        </w:rPr>
        <w:t>multivariabel</w:t>
      </w:r>
      <w:r w:rsidR="00BC3DF1">
        <w:rPr>
          <w:rFonts w:ascii="Times New Roman" w:hAnsi="Times New Roman"/>
          <w:sz w:val="24"/>
          <w:szCs w:val="24"/>
          <w:lang w:val="en-US"/>
        </w:rPr>
        <w:t xml:space="preserve"> menunjukkan terdapat hubungan yang bermakna antara hambatan akses kognitif setelah mempertimbangkan variabel lain yaitu hambatan akses psikososial dan jenis kelamin (p&lt;0,05</w:t>
      </w:r>
      <w:r w:rsidR="00FC393B">
        <w:rPr>
          <w:rFonts w:ascii="Times New Roman" w:hAnsi="Times New Roman"/>
          <w:sz w:val="24"/>
          <w:szCs w:val="24"/>
          <w:lang w:val="en-US"/>
        </w:rPr>
        <w:t>0</w:t>
      </w:r>
      <w:r w:rsidR="00BC3DF1">
        <w:rPr>
          <w:rFonts w:ascii="Times New Roman" w:hAnsi="Times New Roman"/>
          <w:sz w:val="24"/>
          <w:szCs w:val="24"/>
          <w:lang w:val="en-US"/>
        </w:rPr>
        <w:t>)</w:t>
      </w:r>
      <w:r w:rsidR="00FC393B">
        <w:rPr>
          <w:rFonts w:ascii="Times New Roman" w:hAnsi="Times New Roman"/>
          <w:sz w:val="24"/>
          <w:szCs w:val="24"/>
          <w:lang w:val="en-US"/>
        </w:rPr>
        <w:t>. Terdapat kecenderungan responden yang mengakses informasi kesehatan reproduksi lebih tinggi pada kelompok yang tidak mengalami hambatan dibanding yang mengalami hambatan akses kognitif. Ada hubungan yang bermakna antara hambatan akses psikososial dan jenis kelamin dengan akses informasi kesehatan reproduksi. Tidak terdapat hubungan antara tingkat penghasilan orang tua dengan akses informasi kesehatan reproduksi.</w:t>
      </w:r>
    </w:p>
    <w:p w:rsidR="00D91852" w:rsidRPr="00D91852" w:rsidRDefault="00D91852" w:rsidP="00D91852">
      <w:pPr>
        <w:spacing w:after="0" w:line="240" w:lineRule="auto"/>
        <w:ind w:left="851" w:right="849"/>
        <w:contextualSpacing/>
        <w:jc w:val="both"/>
        <w:rPr>
          <w:rFonts w:ascii="Times New Roman" w:hAnsi="Times New Roman"/>
          <w:sz w:val="24"/>
          <w:szCs w:val="24"/>
        </w:rPr>
      </w:pPr>
    </w:p>
    <w:p w:rsidR="006D7D11" w:rsidRPr="00F56C23" w:rsidRDefault="00CB612C" w:rsidP="00D91852">
      <w:pPr>
        <w:spacing w:after="0" w:line="240" w:lineRule="auto"/>
        <w:ind w:left="851" w:right="849"/>
        <w:contextualSpacing/>
        <w:rPr>
          <w:rFonts w:ascii="Times New Roman" w:hAnsi="Times New Roman"/>
          <w:sz w:val="24"/>
          <w:szCs w:val="24"/>
        </w:rPr>
      </w:pPr>
      <w:r w:rsidRPr="00D91852">
        <w:rPr>
          <w:rFonts w:ascii="Times New Roman" w:hAnsi="Times New Roman"/>
          <w:b/>
          <w:sz w:val="24"/>
          <w:szCs w:val="24"/>
        </w:rPr>
        <w:t>Kata kunci</w:t>
      </w:r>
      <w:r w:rsidRPr="00F56C23">
        <w:rPr>
          <w:rFonts w:ascii="Times New Roman" w:hAnsi="Times New Roman"/>
          <w:sz w:val="24"/>
          <w:szCs w:val="24"/>
        </w:rPr>
        <w:t xml:space="preserve"> : </w:t>
      </w:r>
      <w:r w:rsidR="002624A4">
        <w:rPr>
          <w:rFonts w:ascii="Times New Roman" w:hAnsi="Times New Roman"/>
          <w:sz w:val="24"/>
          <w:szCs w:val="24"/>
          <w:lang w:val="en-US"/>
        </w:rPr>
        <w:t>Akses informasi kesehatan reproduksi,</w:t>
      </w:r>
      <w:r w:rsidR="00FC393B">
        <w:rPr>
          <w:rFonts w:ascii="Times New Roman" w:hAnsi="Times New Roman"/>
          <w:sz w:val="24"/>
          <w:szCs w:val="24"/>
        </w:rPr>
        <w:t>Hambatan akses</w:t>
      </w:r>
      <w:r w:rsidR="00FF56ED">
        <w:rPr>
          <w:rFonts w:ascii="Times New Roman" w:hAnsi="Times New Roman"/>
          <w:sz w:val="24"/>
          <w:szCs w:val="24"/>
        </w:rPr>
        <w:t xml:space="preserve">, </w:t>
      </w:r>
      <w:r w:rsidR="002624A4">
        <w:rPr>
          <w:rFonts w:ascii="Times New Roman" w:hAnsi="Times New Roman"/>
          <w:sz w:val="24"/>
          <w:szCs w:val="24"/>
          <w:lang w:val="en-US"/>
        </w:rPr>
        <w:t>Hambatan k</w:t>
      </w:r>
      <w:r w:rsidR="00FC393B">
        <w:rPr>
          <w:rFonts w:ascii="Times New Roman" w:hAnsi="Times New Roman"/>
          <w:sz w:val="24"/>
          <w:szCs w:val="24"/>
          <w:lang w:val="en-US"/>
        </w:rPr>
        <w:t xml:space="preserve">ognitif </w:t>
      </w:r>
    </w:p>
    <w:p w:rsidR="006D7D11" w:rsidRPr="00F56C23" w:rsidRDefault="006D7D11" w:rsidP="00D91852">
      <w:pPr>
        <w:spacing w:after="0" w:line="240" w:lineRule="auto"/>
        <w:ind w:left="851" w:right="849"/>
        <w:contextualSpacing/>
        <w:rPr>
          <w:rFonts w:ascii="Times New Roman" w:hAnsi="Times New Roman"/>
          <w:sz w:val="24"/>
          <w:szCs w:val="24"/>
        </w:rPr>
      </w:pPr>
    </w:p>
    <w:p w:rsidR="004427F7" w:rsidRPr="00CC04A2" w:rsidRDefault="004427F7" w:rsidP="00D91852">
      <w:pPr>
        <w:spacing w:after="0" w:line="240" w:lineRule="auto"/>
        <w:ind w:left="851" w:right="849"/>
        <w:contextualSpacing/>
        <w:jc w:val="center"/>
        <w:rPr>
          <w:rFonts w:ascii="Times New Roman" w:hAnsi="Times New Roman"/>
          <w:b/>
          <w:i/>
          <w:sz w:val="24"/>
          <w:szCs w:val="24"/>
        </w:rPr>
      </w:pPr>
      <w:r w:rsidRPr="00CC04A2">
        <w:rPr>
          <w:rFonts w:ascii="Times New Roman" w:hAnsi="Times New Roman"/>
          <w:b/>
          <w:i/>
          <w:sz w:val="24"/>
          <w:szCs w:val="24"/>
        </w:rPr>
        <w:t>ABSTRACT</w:t>
      </w:r>
    </w:p>
    <w:p w:rsidR="006D7D11" w:rsidRPr="00F56C23" w:rsidRDefault="002624A4" w:rsidP="002624A4">
      <w:pPr>
        <w:spacing w:after="0" w:line="240" w:lineRule="auto"/>
        <w:ind w:left="851" w:right="849"/>
        <w:contextualSpacing/>
        <w:jc w:val="both"/>
        <w:rPr>
          <w:rFonts w:ascii="Times New Roman" w:hAnsi="Times New Roman"/>
          <w:sz w:val="24"/>
          <w:szCs w:val="24"/>
        </w:rPr>
      </w:pPr>
      <w:r w:rsidRPr="00CC04A2">
        <w:rPr>
          <w:rFonts w:ascii="Times New Roman" w:hAnsi="Times New Roman"/>
          <w:i/>
          <w:sz w:val="24"/>
          <w:szCs w:val="24"/>
        </w:rPr>
        <w:t xml:space="preserve">Availability of services and the demand to access information alone cannot improve access if adolescents are still experiencing various barriers to access. The study aims to determine the relationship of cognitive barriers to access to reproductive health information. The study design was observational with a cross-sectional approach. The sample was 280 students of health faculties (Pharmacy, Health knowledge, medicine and dentistry) at Muhammadiyah University Surakarta. The samples were taken using Proportional Random </w:t>
      </w:r>
      <w:r w:rsidRPr="00CC04A2">
        <w:rPr>
          <w:rFonts w:ascii="Times New Roman" w:hAnsi="Times New Roman"/>
          <w:i/>
          <w:sz w:val="24"/>
          <w:szCs w:val="24"/>
        </w:rPr>
        <w:lastRenderedPageBreak/>
        <w:t>Sampling techniques. The research instrument is a self-administered questionnaire that has been tested for validity and reliability. Data analysis included bivariable analysis with Chi-Square statistical tests and multivariable analysis using logistic regression tests with a significance level of 95%. Multivariable analysis showed that there was a s</w:t>
      </w:r>
      <w:r w:rsidR="00CC04A2">
        <w:rPr>
          <w:rFonts w:ascii="Times New Roman" w:hAnsi="Times New Roman"/>
          <w:i/>
          <w:sz w:val="24"/>
          <w:szCs w:val="24"/>
        </w:rPr>
        <w:t>ignificant relationship between</w:t>
      </w:r>
      <w:r w:rsidRPr="00CC04A2">
        <w:rPr>
          <w:rFonts w:ascii="Times New Roman" w:hAnsi="Times New Roman"/>
          <w:i/>
          <w:sz w:val="24"/>
          <w:szCs w:val="24"/>
        </w:rPr>
        <w:t xml:space="preserve"> cognitive</w:t>
      </w:r>
      <w:r w:rsidR="00CC04A2">
        <w:rPr>
          <w:rFonts w:ascii="Times New Roman" w:hAnsi="Times New Roman"/>
          <w:i/>
          <w:sz w:val="24"/>
          <w:szCs w:val="24"/>
        </w:rPr>
        <w:t>barriers to</w:t>
      </w:r>
      <w:r w:rsidRPr="00CC04A2">
        <w:rPr>
          <w:rFonts w:ascii="Times New Roman" w:hAnsi="Times New Roman"/>
          <w:i/>
          <w:sz w:val="24"/>
          <w:szCs w:val="24"/>
        </w:rPr>
        <w:t xml:space="preserve"> access after considering other variables, namely psychosocial barriers and sex (p &lt;0.050). There is a tendency for respondents who access reproductive health information to be higher in groups that do not experience cognitive barriers than those who do experience cognitive barriers. There is a significant relationship between psychosocial barriers and sex with access to reproductive health information. There is no relationship between the income level of parents and access to reproductive health information</w:t>
      </w:r>
      <w:r w:rsidRPr="002624A4">
        <w:rPr>
          <w:rFonts w:ascii="Times New Roman" w:hAnsi="Times New Roman"/>
          <w:sz w:val="24"/>
          <w:szCs w:val="24"/>
        </w:rPr>
        <w:t>.</w:t>
      </w:r>
    </w:p>
    <w:p w:rsidR="004427F7" w:rsidRPr="00F56C23" w:rsidRDefault="004427F7" w:rsidP="00D91852">
      <w:pPr>
        <w:spacing w:after="0" w:line="240" w:lineRule="auto"/>
        <w:ind w:left="851" w:right="849"/>
        <w:contextualSpacing/>
        <w:jc w:val="both"/>
        <w:rPr>
          <w:rFonts w:ascii="Times New Roman" w:hAnsi="Times New Roman"/>
          <w:sz w:val="24"/>
          <w:szCs w:val="24"/>
        </w:rPr>
      </w:pPr>
    </w:p>
    <w:p w:rsidR="004427F7" w:rsidRPr="00F56C23" w:rsidRDefault="00480021" w:rsidP="00D91852">
      <w:pPr>
        <w:spacing w:after="0" w:line="240" w:lineRule="auto"/>
        <w:ind w:left="851" w:right="849"/>
        <w:contextualSpacing/>
        <w:jc w:val="both"/>
        <w:rPr>
          <w:rFonts w:ascii="Times New Roman" w:hAnsi="Times New Roman"/>
          <w:sz w:val="24"/>
          <w:szCs w:val="24"/>
        </w:rPr>
      </w:pPr>
      <w:r w:rsidRPr="00D91852">
        <w:rPr>
          <w:rFonts w:ascii="Times New Roman" w:hAnsi="Times New Roman"/>
          <w:b/>
          <w:sz w:val="24"/>
          <w:szCs w:val="24"/>
        </w:rPr>
        <w:t>Keywords</w:t>
      </w:r>
      <w:r w:rsidRPr="00F56C23">
        <w:rPr>
          <w:rFonts w:ascii="Times New Roman" w:hAnsi="Times New Roman"/>
          <w:sz w:val="24"/>
          <w:szCs w:val="24"/>
        </w:rPr>
        <w:t>:</w:t>
      </w:r>
      <w:r w:rsidR="00CC04A2">
        <w:rPr>
          <w:rFonts w:ascii="Times New Roman" w:hAnsi="Times New Roman"/>
          <w:sz w:val="24"/>
          <w:szCs w:val="24"/>
          <w:lang w:val="en-US"/>
        </w:rPr>
        <w:t xml:space="preserve"> A</w:t>
      </w:r>
      <w:r w:rsidR="00CC04A2" w:rsidRPr="00CC04A2">
        <w:rPr>
          <w:rFonts w:ascii="Times New Roman" w:hAnsi="Times New Roman"/>
          <w:i/>
          <w:sz w:val="24"/>
          <w:szCs w:val="24"/>
        </w:rPr>
        <w:t>ccess to reproductive health information</w:t>
      </w:r>
      <w:r w:rsidR="00EE0451">
        <w:rPr>
          <w:rFonts w:ascii="Times New Roman" w:hAnsi="Times New Roman"/>
          <w:sz w:val="24"/>
          <w:szCs w:val="24"/>
        </w:rPr>
        <w:t xml:space="preserve">, </w:t>
      </w:r>
      <w:r w:rsidR="00CC04A2" w:rsidRPr="00CC04A2">
        <w:rPr>
          <w:rFonts w:ascii="Times New Roman" w:hAnsi="Times New Roman"/>
          <w:i/>
          <w:sz w:val="24"/>
          <w:szCs w:val="24"/>
        </w:rPr>
        <w:t>cognitive barriers</w:t>
      </w:r>
      <w:r w:rsidR="00EE0451">
        <w:rPr>
          <w:rFonts w:ascii="Times New Roman" w:hAnsi="Times New Roman"/>
          <w:sz w:val="24"/>
          <w:szCs w:val="24"/>
        </w:rPr>
        <w:t>,</w:t>
      </w:r>
      <w:r w:rsidR="00CC04A2" w:rsidRPr="00CC04A2">
        <w:rPr>
          <w:rFonts w:ascii="Times New Roman" w:hAnsi="Times New Roman"/>
          <w:i/>
          <w:sz w:val="24"/>
          <w:szCs w:val="24"/>
          <w:lang w:val="en-US"/>
        </w:rPr>
        <w:t>access barriers</w:t>
      </w:r>
    </w:p>
    <w:p w:rsidR="00D91852" w:rsidRDefault="00D91852" w:rsidP="00D91852">
      <w:pPr>
        <w:pStyle w:val="ListParagraph"/>
        <w:tabs>
          <w:tab w:val="left" w:pos="142"/>
          <w:tab w:val="left" w:pos="284"/>
        </w:tabs>
        <w:spacing w:after="0" w:line="240" w:lineRule="auto"/>
        <w:ind w:left="0"/>
        <w:rPr>
          <w:rFonts w:ascii="Times New Roman" w:hAnsi="Times New Roman"/>
          <w:sz w:val="24"/>
          <w:szCs w:val="24"/>
        </w:rPr>
      </w:pPr>
    </w:p>
    <w:p w:rsidR="00F10488" w:rsidRDefault="00F10488" w:rsidP="00D91852">
      <w:pPr>
        <w:pStyle w:val="ListParagraph"/>
        <w:tabs>
          <w:tab w:val="left" w:pos="142"/>
          <w:tab w:val="left" w:pos="284"/>
        </w:tabs>
        <w:spacing w:after="0" w:line="240" w:lineRule="auto"/>
        <w:ind w:left="0"/>
        <w:rPr>
          <w:rFonts w:ascii="Times New Roman" w:hAnsi="Times New Roman"/>
          <w:b/>
          <w:sz w:val="24"/>
          <w:szCs w:val="24"/>
        </w:rPr>
      </w:pPr>
    </w:p>
    <w:p w:rsidR="006240F6" w:rsidRDefault="006240F6" w:rsidP="00D91852">
      <w:pPr>
        <w:pStyle w:val="ListParagraph"/>
        <w:tabs>
          <w:tab w:val="left" w:pos="142"/>
          <w:tab w:val="left" w:pos="284"/>
        </w:tabs>
        <w:spacing w:after="0" w:line="240" w:lineRule="auto"/>
        <w:ind w:left="0"/>
        <w:rPr>
          <w:rFonts w:ascii="Times New Roman" w:hAnsi="Times New Roman"/>
          <w:b/>
          <w:sz w:val="24"/>
          <w:szCs w:val="24"/>
        </w:rPr>
        <w:sectPr w:rsidR="006240F6" w:rsidSect="00F56C23">
          <w:pgSz w:w="11906" w:h="16838" w:code="9"/>
          <w:pgMar w:top="1701" w:right="1701" w:bottom="1701" w:left="1701" w:header="708" w:footer="708" w:gutter="0"/>
          <w:cols w:space="708"/>
          <w:docGrid w:linePitch="360"/>
        </w:sectPr>
      </w:pPr>
    </w:p>
    <w:p w:rsidR="00CB612C" w:rsidRDefault="00CB612C" w:rsidP="00D91852">
      <w:pPr>
        <w:pStyle w:val="ListParagraph"/>
        <w:tabs>
          <w:tab w:val="left" w:pos="142"/>
          <w:tab w:val="left" w:pos="284"/>
        </w:tabs>
        <w:spacing w:after="0" w:line="240" w:lineRule="auto"/>
        <w:ind w:left="0"/>
        <w:rPr>
          <w:rFonts w:ascii="Times New Roman" w:hAnsi="Times New Roman"/>
          <w:b/>
          <w:sz w:val="24"/>
          <w:szCs w:val="24"/>
        </w:rPr>
      </w:pPr>
      <w:r w:rsidRPr="00F56C23">
        <w:rPr>
          <w:rFonts w:ascii="Times New Roman" w:hAnsi="Times New Roman"/>
          <w:b/>
          <w:sz w:val="24"/>
          <w:szCs w:val="24"/>
        </w:rPr>
        <w:lastRenderedPageBreak/>
        <w:t>PENDAHULUAN</w:t>
      </w:r>
    </w:p>
    <w:p w:rsidR="00695065" w:rsidRPr="00F56C23" w:rsidRDefault="00695065" w:rsidP="00D91852">
      <w:pPr>
        <w:pStyle w:val="ListParagraph"/>
        <w:tabs>
          <w:tab w:val="left" w:pos="142"/>
          <w:tab w:val="left" w:pos="284"/>
        </w:tabs>
        <w:spacing w:after="0" w:line="240" w:lineRule="auto"/>
        <w:ind w:left="0"/>
        <w:rPr>
          <w:rFonts w:ascii="Times New Roman" w:hAnsi="Times New Roman"/>
          <w:b/>
          <w:sz w:val="24"/>
          <w:szCs w:val="24"/>
        </w:rPr>
      </w:pPr>
    </w:p>
    <w:p w:rsidR="00227123" w:rsidRDefault="00227123" w:rsidP="00227123">
      <w:pPr>
        <w:pStyle w:val="regular"/>
        <w:spacing w:line="360" w:lineRule="auto"/>
        <w:ind w:firstLine="567"/>
        <w:contextualSpacing/>
        <w:rPr>
          <w:rFonts w:ascii="Times New Roman" w:hAnsi="Times New Roman" w:cs="Times New Roman"/>
          <w:sz w:val="24"/>
          <w:szCs w:val="24"/>
          <w:lang w:val="en-US"/>
        </w:rPr>
      </w:pPr>
      <w:r w:rsidRPr="00210032">
        <w:rPr>
          <w:rFonts w:ascii="Times New Roman" w:hAnsi="Times New Roman" w:cs="Times New Roman"/>
          <w:sz w:val="24"/>
          <w:szCs w:val="24"/>
          <w:lang w:val="en-US"/>
        </w:rPr>
        <w:t>Dua dekade setelah ICPD Cairo 1994</w:t>
      </w:r>
      <w:r>
        <w:rPr>
          <w:rFonts w:ascii="Times New Roman" w:hAnsi="Times New Roman" w:cs="Times New Roman"/>
          <w:sz w:val="24"/>
          <w:szCs w:val="24"/>
          <w:lang w:val="en-US"/>
        </w:rPr>
        <w:t>,</w:t>
      </w:r>
      <w:r w:rsidRPr="00210032">
        <w:rPr>
          <w:rFonts w:ascii="Times New Roman" w:hAnsi="Times New Roman" w:cs="Times New Roman"/>
          <w:sz w:val="24"/>
          <w:szCs w:val="24"/>
          <w:lang w:val="en-US"/>
        </w:rPr>
        <w:t xml:space="preserve"> salah satu </w:t>
      </w:r>
      <w:r w:rsidRPr="00227123">
        <w:rPr>
          <w:rFonts w:ascii="Times New Roman" w:hAnsi="Times New Roman" w:cs="Times New Roman"/>
          <w:sz w:val="24"/>
          <w:szCs w:val="24"/>
          <w:lang w:val="en-US"/>
        </w:rPr>
        <w:t>Progamme of Action</w:t>
      </w:r>
      <w:r w:rsidRPr="00210032">
        <w:rPr>
          <w:rFonts w:ascii="Times New Roman" w:hAnsi="Times New Roman" w:cs="Times New Roman"/>
          <w:sz w:val="24"/>
          <w:szCs w:val="24"/>
          <w:lang w:val="en-US"/>
        </w:rPr>
        <w:t xml:space="preserve"> (PoA) ICPD yaitu “menyediakan pendidikan dan pelayanan yang dibutuhkan</w:t>
      </w:r>
      <w:r w:rsidR="0060119A">
        <w:rPr>
          <w:rFonts w:ascii="Times New Roman" w:hAnsi="Times New Roman" w:cs="Times New Roman"/>
          <w:sz w:val="24"/>
          <w:szCs w:val="24"/>
          <w:lang w:val="en-US"/>
        </w:rPr>
        <w:t xml:space="preserve"> remaja agar memampukan remaja </w:t>
      </w:r>
      <w:r w:rsidRPr="00210032">
        <w:rPr>
          <w:rFonts w:ascii="Times New Roman" w:hAnsi="Times New Roman" w:cs="Times New Roman"/>
          <w:sz w:val="24"/>
          <w:szCs w:val="24"/>
          <w:lang w:val="en-US"/>
        </w:rPr>
        <w:t>mengatasi masalah seksualitasnya dengan benar dan bertanggung jawab” belum sepenuhnya tercapai</w:t>
      </w:r>
      <w:r>
        <w:rPr>
          <w:rFonts w:ascii="Times New Roman" w:hAnsi="Times New Roman" w:cs="Times New Roman"/>
          <w:sz w:val="24"/>
          <w:szCs w:val="24"/>
          <w:lang w:val="en-US"/>
        </w:rPr>
        <w:t xml:space="preserve"> di</w:t>
      </w:r>
      <w:r w:rsidR="00A065AA">
        <w:rPr>
          <w:rFonts w:ascii="Times New Roman" w:hAnsi="Times New Roman" w:cs="Times New Roman"/>
          <w:sz w:val="24"/>
          <w:szCs w:val="24"/>
          <w:lang w:val="en-US"/>
        </w:rPr>
        <w:t xml:space="preserve"> banyak negara termasuk</w:t>
      </w:r>
      <w:r>
        <w:rPr>
          <w:rFonts w:ascii="Times New Roman" w:hAnsi="Times New Roman" w:cs="Times New Roman"/>
          <w:sz w:val="24"/>
          <w:szCs w:val="24"/>
          <w:lang w:val="en-US"/>
        </w:rPr>
        <w:t xml:space="preserve"> Indonesia</w:t>
      </w:r>
      <w:r w:rsidR="00A065AA">
        <w:rPr>
          <w:rFonts w:ascii="Times New Roman" w:hAnsi="Times New Roman" w:cs="Times New Roman"/>
          <w:sz w:val="24"/>
          <w:szCs w:val="24"/>
          <w:lang w:val="en-US"/>
        </w:rPr>
        <w:t>(</w:t>
      </w:r>
      <w:r w:rsidR="00A065AA" w:rsidRPr="00A065AA">
        <w:rPr>
          <w:rFonts w:ascii="Times New Roman" w:hAnsi="Times New Roman" w:cs="Times New Roman"/>
          <w:sz w:val="24"/>
          <w:szCs w:val="24"/>
          <w:lang w:val="en-US"/>
        </w:rPr>
        <w:t>Chandra-Mouli, V</w:t>
      </w:r>
      <w:r w:rsidR="00D11A8A">
        <w:rPr>
          <w:rFonts w:ascii="Times New Roman" w:hAnsi="Times New Roman" w:cs="Times New Roman"/>
          <w:sz w:val="24"/>
          <w:szCs w:val="24"/>
          <w:lang w:val="en-US"/>
        </w:rPr>
        <w:t xml:space="preserve"> dkk</w:t>
      </w:r>
      <w:r w:rsidR="00A065AA" w:rsidRPr="00A065AA">
        <w:rPr>
          <w:rFonts w:ascii="Times New Roman" w:hAnsi="Times New Roman" w:cs="Times New Roman"/>
          <w:sz w:val="24"/>
          <w:szCs w:val="24"/>
          <w:lang w:val="en-US"/>
        </w:rPr>
        <w:t>, 2015</w:t>
      </w:r>
      <w:r w:rsidR="00A065AA">
        <w:rPr>
          <w:rFonts w:ascii="Times New Roman" w:hAnsi="Times New Roman" w:cs="Times New Roman"/>
          <w:sz w:val="24"/>
          <w:szCs w:val="24"/>
          <w:lang w:val="en-US"/>
        </w:rPr>
        <w:t>).</w:t>
      </w:r>
      <w:r w:rsidRPr="00210032">
        <w:rPr>
          <w:rFonts w:ascii="Times New Roman" w:hAnsi="Times New Roman" w:cs="Times New Roman"/>
          <w:sz w:val="24"/>
          <w:szCs w:val="24"/>
          <w:lang w:val="en-US"/>
        </w:rPr>
        <w:t xml:space="preserve"> Komitmen pemerintah Indonesia meng</w:t>
      </w:r>
      <w:r>
        <w:rPr>
          <w:rFonts w:ascii="Times New Roman" w:hAnsi="Times New Roman" w:cs="Times New Roman"/>
          <w:sz w:val="24"/>
          <w:szCs w:val="24"/>
          <w:lang w:val="en-US"/>
        </w:rPr>
        <w:t>enai hal tersebut diwujudkan</w:t>
      </w:r>
      <w:r w:rsidRPr="00210032">
        <w:rPr>
          <w:rFonts w:ascii="Times New Roman" w:hAnsi="Times New Roman" w:cs="Times New Roman"/>
          <w:sz w:val="24"/>
          <w:szCs w:val="24"/>
          <w:lang w:val="en-US"/>
        </w:rPr>
        <w:t xml:space="preserve"> dalam </w:t>
      </w:r>
      <w:r>
        <w:rPr>
          <w:rFonts w:ascii="Times New Roman" w:hAnsi="Times New Roman" w:cs="Times New Roman"/>
          <w:sz w:val="24"/>
          <w:szCs w:val="24"/>
          <w:lang w:val="en-US"/>
        </w:rPr>
        <w:t>berbagai program, terutama P</w:t>
      </w:r>
      <w:r w:rsidRPr="00210032">
        <w:rPr>
          <w:rFonts w:ascii="Times New Roman" w:hAnsi="Times New Roman" w:cs="Times New Roman"/>
          <w:sz w:val="24"/>
          <w:szCs w:val="24"/>
          <w:lang w:val="en-US"/>
        </w:rPr>
        <w:t>elayanan Kesehatan Peduli Remaja (PKPR)</w:t>
      </w:r>
      <w:r>
        <w:rPr>
          <w:rFonts w:ascii="Times New Roman" w:hAnsi="Times New Roman" w:cs="Times New Roman"/>
          <w:sz w:val="24"/>
          <w:szCs w:val="24"/>
          <w:lang w:val="en-US"/>
        </w:rPr>
        <w:t xml:space="preserve"> dari Kementrian Kesehatan dan Generasi Berencana (Genre) dengan Pusat Informasi Kesehatan Remaja/Mahasiswa (PIK-R/M) dari BKKBN. PKPR mulai diselenggarakan di</w:t>
      </w:r>
      <w:r w:rsidRPr="00210032">
        <w:rPr>
          <w:rFonts w:ascii="Times New Roman" w:hAnsi="Times New Roman" w:cs="Times New Roman"/>
          <w:sz w:val="24"/>
          <w:szCs w:val="24"/>
          <w:lang w:val="en-US"/>
        </w:rPr>
        <w:t xml:space="preserve"> Puskesmas</w:t>
      </w:r>
      <w:r>
        <w:rPr>
          <w:rFonts w:ascii="Times New Roman" w:hAnsi="Times New Roman" w:cs="Times New Roman"/>
          <w:sz w:val="24"/>
          <w:szCs w:val="24"/>
          <w:lang w:val="en-US"/>
        </w:rPr>
        <w:t xml:space="preserve"> sejak tahun 2003</w:t>
      </w:r>
      <w:r w:rsidRPr="00210032">
        <w:rPr>
          <w:rFonts w:ascii="Times New Roman" w:hAnsi="Times New Roman" w:cs="Times New Roman"/>
          <w:sz w:val="24"/>
          <w:szCs w:val="24"/>
          <w:lang w:val="en-US"/>
        </w:rPr>
        <w:t>.</w:t>
      </w:r>
      <w:r>
        <w:rPr>
          <w:rFonts w:ascii="Times New Roman" w:hAnsi="Times New Roman" w:cs="Times New Roman"/>
          <w:sz w:val="24"/>
          <w:szCs w:val="24"/>
          <w:lang w:val="en-US"/>
        </w:rPr>
        <w:t xml:space="preserve"> Data menunjukkan pada tahun 2014 baru 81% kabupaten memiliki setidaknya 4 Puksemas dengan PKPR. Masih jauh dari target tahun 2019 yaitu 45% Puskemas di Indonesia menyelenggarakan kegiatan kese</w:t>
      </w:r>
      <w:r w:rsidR="00A065AA">
        <w:rPr>
          <w:rFonts w:ascii="Times New Roman" w:hAnsi="Times New Roman" w:cs="Times New Roman"/>
          <w:sz w:val="24"/>
          <w:szCs w:val="24"/>
          <w:lang w:val="en-US"/>
        </w:rPr>
        <w:t xml:space="preserve">hatan remaja </w:t>
      </w:r>
      <w:r w:rsidR="0060119A">
        <w:rPr>
          <w:rFonts w:ascii="Times New Roman" w:hAnsi="Times New Roman" w:cs="Times New Roman"/>
          <w:sz w:val="24"/>
          <w:szCs w:val="24"/>
          <w:lang w:val="en-US"/>
        </w:rPr>
        <w:t>(Kemenkes, 2015</w:t>
      </w:r>
      <w:r>
        <w:rPr>
          <w:rFonts w:ascii="Times New Roman" w:hAnsi="Times New Roman" w:cs="Times New Roman"/>
          <w:sz w:val="24"/>
          <w:szCs w:val="24"/>
          <w:lang w:val="en-US"/>
        </w:rPr>
        <w:t>). Ketersediaan pelayanan tersebut saja tidak cukup untuk meningkatkan kesehatan remaja. Remaja perlu dapat menjangkau atau mengakses informasi dan pusat pelayanan kesehatan reproduksi terseb</w:t>
      </w:r>
      <w:r w:rsidR="00E60D8D">
        <w:rPr>
          <w:rFonts w:ascii="Times New Roman" w:hAnsi="Times New Roman" w:cs="Times New Roman"/>
          <w:sz w:val="24"/>
          <w:szCs w:val="24"/>
          <w:lang w:val="en-US"/>
        </w:rPr>
        <w:t>ut untuk mendapatkan manfaatnya (</w:t>
      </w:r>
      <w:r w:rsidR="00E60D8D" w:rsidRPr="00A065AA">
        <w:rPr>
          <w:rFonts w:ascii="Times New Roman" w:hAnsi="Times New Roman" w:cs="Times New Roman"/>
          <w:sz w:val="24"/>
          <w:szCs w:val="24"/>
          <w:lang w:val="en-US"/>
        </w:rPr>
        <w:t>Chandra-Mouli, V</w:t>
      </w:r>
      <w:r w:rsidR="00D11A8A">
        <w:rPr>
          <w:rFonts w:ascii="Times New Roman" w:hAnsi="Times New Roman" w:cs="Times New Roman"/>
          <w:sz w:val="24"/>
          <w:szCs w:val="24"/>
          <w:lang w:val="en-US"/>
        </w:rPr>
        <w:t xml:space="preserve"> dkk</w:t>
      </w:r>
      <w:r w:rsidR="00E60D8D" w:rsidRPr="00A065AA">
        <w:rPr>
          <w:rFonts w:ascii="Times New Roman" w:hAnsi="Times New Roman" w:cs="Times New Roman"/>
          <w:sz w:val="24"/>
          <w:szCs w:val="24"/>
          <w:lang w:val="en-US"/>
        </w:rPr>
        <w:t>, 2015</w:t>
      </w:r>
      <w:r w:rsidR="00E60D8D">
        <w:rPr>
          <w:rFonts w:ascii="Times New Roman" w:hAnsi="Times New Roman" w:cs="Times New Roman"/>
          <w:sz w:val="24"/>
          <w:szCs w:val="24"/>
          <w:lang w:val="en-US"/>
        </w:rPr>
        <w:t>). Data hasil Survei Demografi Kesehatan Indonesia (SDKI) 2017 menunjukkan</w:t>
      </w:r>
      <w:r>
        <w:rPr>
          <w:rFonts w:ascii="Times New Roman" w:hAnsi="Times New Roman" w:cs="Times New Roman"/>
          <w:sz w:val="24"/>
          <w:szCs w:val="24"/>
          <w:lang w:val="en-US"/>
        </w:rPr>
        <w:t xml:space="preserve"> baru sekitar 34% remaja putri yang tahu adanya tempat pelayanan informasi dan konseling kesehatan reproduksi berupa PKPR dan hanya 16% remaja putri yang mengetahui tentang PIK-R/M tersebut sehingga aksesnya dap</w:t>
      </w:r>
      <w:r w:rsidR="00D11A8A">
        <w:rPr>
          <w:rFonts w:ascii="Times New Roman" w:hAnsi="Times New Roman" w:cs="Times New Roman"/>
          <w:sz w:val="24"/>
          <w:szCs w:val="24"/>
          <w:lang w:val="en-US"/>
        </w:rPr>
        <w:t>at diasumsikan lebih kecil lagi (BPS, dkk, 2018</w:t>
      </w:r>
      <w:r w:rsidR="00E60D8D">
        <w:rPr>
          <w:rFonts w:ascii="Times New Roman" w:hAnsi="Times New Roman" w:cs="Times New Roman"/>
          <w:sz w:val="24"/>
          <w:szCs w:val="24"/>
          <w:lang w:val="en-US"/>
        </w:rPr>
        <w:t>)</w:t>
      </w:r>
      <w:r w:rsidR="00D634CD">
        <w:rPr>
          <w:rFonts w:ascii="Times New Roman" w:hAnsi="Times New Roman" w:cs="Times New Roman"/>
          <w:sz w:val="24"/>
          <w:szCs w:val="24"/>
          <w:lang w:val="en-US"/>
        </w:rPr>
        <w:t>.</w:t>
      </w:r>
      <w:r>
        <w:rPr>
          <w:rFonts w:ascii="Times New Roman" w:hAnsi="Times New Roman" w:cs="Times New Roman"/>
          <w:sz w:val="24"/>
          <w:szCs w:val="24"/>
          <w:lang w:val="en-US"/>
        </w:rPr>
        <w:t xml:space="preserve"> Sebagaimana hasil penelitian Nurmansyah dkk </w:t>
      </w:r>
      <w:r w:rsidR="00D11A8A">
        <w:rPr>
          <w:rFonts w:ascii="Times New Roman" w:hAnsi="Times New Roman" w:cs="Times New Roman"/>
          <w:sz w:val="24"/>
          <w:szCs w:val="24"/>
          <w:lang w:val="en-US"/>
        </w:rPr>
        <w:lastRenderedPageBreak/>
        <w:t>(</w:t>
      </w:r>
      <w:r>
        <w:rPr>
          <w:rFonts w:ascii="Times New Roman" w:hAnsi="Times New Roman" w:cs="Times New Roman"/>
          <w:sz w:val="24"/>
          <w:szCs w:val="24"/>
          <w:lang w:val="en-US"/>
        </w:rPr>
        <w:t>2013</w:t>
      </w:r>
      <w:r w:rsidR="00D11A8A">
        <w:rPr>
          <w:rFonts w:ascii="Times New Roman" w:hAnsi="Times New Roman" w:cs="Times New Roman"/>
          <w:sz w:val="24"/>
          <w:szCs w:val="24"/>
          <w:lang w:val="en-US"/>
        </w:rPr>
        <w:t>)</w:t>
      </w:r>
      <w:r>
        <w:rPr>
          <w:rFonts w:ascii="Times New Roman" w:hAnsi="Times New Roman" w:cs="Times New Roman"/>
          <w:sz w:val="24"/>
          <w:szCs w:val="24"/>
          <w:lang w:val="en-US"/>
        </w:rPr>
        <w:t xml:space="preserve"> dari 15,4% remaja yang mengetahui lembaga yang fokus pada kesehatan reproduksi hanya 4,4% remaja yang telah mengunjunginya. </w:t>
      </w:r>
    </w:p>
    <w:p w:rsidR="00227123" w:rsidRPr="00210032" w:rsidRDefault="00227123" w:rsidP="00227123">
      <w:pPr>
        <w:pStyle w:val="regular"/>
        <w:spacing w:line="360" w:lineRule="auto"/>
        <w:ind w:firstLine="567"/>
        <w:contextualSpacing/>
        <w:rPr>
          <w:rFonts w:ascii="Times New Roman" w:hAnsi="Times New Roman" w:cs="Times New Roman"/>
          <w:sz w:val="24"/>
          <w:szCs w:val="24"/>
          <w:lang w:val="en-US"/>
        </w:rPr>
      </w:pPr>
      <w:r>
        <w:rPr>
          <w:rFonts w:ascii="Times New Roman" w:hAnsi="Times New Roman" w:cs="Times New Roman"/>
          <w:sz w:val="24"/>
          <w:szCs w:val="24"/>
          <w:lang w:val="en-US"/>
        </w:rPr>
        <w:t>Ketidaktahuan tentang pusat pelayanan tersebut dapat menjadi penyebab kurangnya pengetahuan remaja tentang kesehatan reproduksi. Data SDKI tahun 2017 menunjukkan remaja putri usia 15-19 tahun yang memiliki pengetahuan yang memadai tentang kesehatan reproduksi hanya sebesar 33% pada remaja wanita dan 37% pada remaja pria</w:t>
      </w:r>
      <w:r w:rsidR="00D11A8A">
        <w:rPr>
          <w:rFonts w:ascii="Times New Roman" w:hAnsi="Times New Roman" w:cs="Times New Roman"/>
          <w:sz w:val="24"/>
          <w:szCs w:val="24"/>
          <w:lang w:val="en-US"/>
        </w:rPr>
        <w:t xml:space="preserve"> (BPS, dkk, 2018)</w:t>
      </w:r>
      <w:r>
        <w:rPr>
          <w:rFonts w:ascii="Times New Roman" w:hAnsi="Times New Roman" w:cs="Times New Roman"/>
          <w:sz w:val="24"/>
          <w:szCs w:val="24"/>
          <w:lang w:val="en-US"/>
        </w:rPr>
        <w:t>. Padahal pengetahuan yang memadai tentang kesehatan reproduksi dan seksual yang komprehensif secara langsung maupun tidak la</w:t>
      </w:r>
      <w:r w:rsidR="00D634CD">
        <w:rPr>
          <w:rFonts w:ascii="Times New Roman" w:hAnsi="Times New Roman" w:cs="Times New Roman"/>
          <w:sz w:val="24"/>
          <w:szCs w:val="24"/>
          <w:lang w:val="en-US"/>
        </w:rPr>
        <w:t>ngsung mencegah berbagai dampak</w:t>
      </w:r>
      <w:r>
        <w:rPr>
          <w:rFonts w:ascii="Times New Roman" w:hAnsi="Times New Roman" w:cs="Times New Roman"/>
          <w:sz w:val="24"/>
          <w:szCs w:val="24"/>
          <w:lang w:val="en-US"/>
        </w:rPr>
        <w:t xml:space="preserve"> buruk kesehatan reproduksi remaja.  Data menunjukkan</w:t>
      </w:r>
      <w:r w:rsidRPr="00210032">
        <w:rPr>
          <w:rFonts w:ascii="Times New Roman" w:hAnsi="Times New Roman" w:cs="Times New Roman"/>
          <w:sz w:val="24"/>
          <w:szCs w:val="24"/>
          <w:lang w:val="en-US"/>
        </w:rPr>
        <w:t xml:space="preserve"> remaja menyumbang 30% dari keseluruhan</w:t>
      </w:r>
      <w:r w:rsidRPr="009169CA">
        <w:rPr>
          <w:rFonts w:ascii="Times New Roman" w:hAnsi="Times New Roman" w:cs="Times New Roman"/>
          <w:sz w:val="24"/>
          <w:szCs w:val="24"/>
          <w:lang w:val="en-US"/>
        </w:rPr>
        <w:t xml:space="preserve"> beban penyakit</w:t>
      </w:r>
      <w:r w:rsidRPr="00210032">
        <w:rPr>
          <w:rFonts w:ascii="Times New Roman" w:hAnsi="Times New Roman" w:cs="Times New Roman"/>
          <w:sz w:val="24"/>
          <w:szCs w:val="24"/>
          <w:lang w:val="en-US"/>
        </w:rPr>
        <w:t>(</w:t>
      </w:r>
      <w:r w:rsidRPr="00612655">
        <w:rPr>
          <w:rFonts w:ascii="Times New Roman" w:hAnsi="Times New Roman" w:cs="Times New Roman"/>
          <w:i/>
          <w:sz w:val="24"/>
          <w:szCs w:val="24"/>
          <w:lang w:val="en-US"/>
        </w:rPr>
        <w:t>Disability-adjusted life years</w:t>
      </w:r>
      <w:r w:rsidRPr="00210032">
        <w:rPr>
          <w:rFonts w:ascii="Times New Roman" w:hAnsi="Times New Roman" w:cs="Times New Roman"/>
          <w:sz w:val="24"/>
          <w:szCs w:val="24"/>
          <w:lang w:val="en-US"/>
        </w:rPr>
        <w:t xml:space="preserve">) </w:t>
      </w:r>
      <w:r>
        <w:rPr>
          <w:rFonts w:ascii="Times New Roman" w:hAnsi="Times New Roman" w:cs="Times New Roman"/>
          <w:sz w:val="24"/>
          <w:szCs w:val="24"/>
          <w:lang w:val="en-US"/>
        </w:rPr>
        <w:t>karena</w:t>
      </w:r>
      <w:r w:rsidRPr="00210032">
        <w:rPr>
          <w:rFonts w:ascii="Times New Roman" w:hAnsi="Times New Roman" w:cs="Times New Roman"/>
          <w:sz w:val="24"/>
          <w:szCs w:val="24"/>
          <w:lang w:val="en-US"/>
        </w:rPr>
        <w:t xml:space="preserve"> kehamilan remaja dikaitkan dengan peningkatan aborsi tidak aman, persalina</w:t>
      </w:r>
      <w:r>
        <w:rPr>
          <w:rFonts w:ascii="Times New Roman" w:hAnsi="Times New Roman" w:cs="Times New Roman"/>
          <w:sz w:val="24"/>
          <w:szCs w:val="24"/>
          <w:lang w:val="en-US"/>
        </w:rPr>
        <w:t>n dengan penyulit, kematian ibu</w:t>
      </w:r>
      <w:r w:rsidR="00D11A8A">
        <w:rPr>
          <w:rFonts w:ascii="Times New Roman" w:hAnsi="Times New Roman" w:cs="Times New Roman"/>
          <w:sz w:val="24"/>
          <w:szCs w:val="24"/>
          <w:lang w:val="en-US"/>
        </w:rPr>
        <w:t>, BBLR dan kematian anak (</w:t>
      </w:r>
      <w:r w:rsidR="00D11A8A" w:rsidRPr="00A065AA">
        <w:rPr>
          <w:rFonts w:ascii="Times New Roman" w:hAnsi="Times New Roman" w:cs="Times New Roman"/>
          <w:sz w:val="24"/>
          <w:szCs w:val="24"/>
          <w:lang w:val="en-US"/>
        </w:rPr>
        <w:t>Chandra-Mouli, V</w:t>
      </w:r>
      <w:r w:rsidR="00D11A8A">
        <w:rPr>
          <w:rFonts w:ascii="Times New Roman" w:hAnsi="Times New Roman" w:cs="Times New Roman"/>
          <w:sz w:val="24"/>
          <w:szCs w:val="24"/>
          <w:lang w:val="en-US"/>
        </w:rPr>
        <w:t xml:space="preserve"> dkk</w:t>
      </w:r>
      <w:r w:rsidR="00D11A8A" w:rsidRPr="00A065AA">
        <w:rPr>
          <w:rFonts w:ascii="Times New Roman" w:hAnsi="Times New Roman" w:cs="Times New Roman"/>
          <w:sz w:val="24"/>
          <w:szCs w:val="24"/>
          <w:lang w:val="en-US"/>
        </w:rPr>
        <w:t>, 2015</w:t>
      </w:r>
      <w:r w:rsidR="00D11A8A">
        <w:rPr>
          <w:rFonts w:ascii="Times New Roman" w:hAnsi="Times New Roman" w:cs="Times New Roman"/>
          <w:sz w:val="24"/>
          <w:szCs w:val="24"/>
          <w:lang w:val="en-US"/>
        </w:rPr>
        <w:t>).</w:t>
      </w:r>
      <w:r>
        <w:rPr>
          <w:rFonts w:ascii="Times New Roman" w:hAnsi="Times New Roman" w:cs="Times New Roman"/>
          <w:sz w:val="24"/>
          <w:szCs w:val="24"/>
          <w:lang w:val="en-US"/>
        </w:rPr>
        <w:t>Sementara itu angka fertilitas kelompok usia 15-19 tahun di Indonesia menunjukkan penurunan yang tidak signifikan selama 5 tahun terakhir yaitu 48 per 1000 perempuan</w:t>
      </w:r>
      <w:r w:rsidR="00D11A8A">
        <w:rPr>
          <w:rFonts w:ascii="Times New Roman" w:hAnsi="Times New Roman" w:cs="Times New Roman"/>
          <w:sz w:val="24"/>
          <w:szCs w:val="24"/>
          <w:lang w:val="en-US"/>
        </w:rPr>
        <w:t xml:space="preserve"> (Kemenkes, 2015). Banyak</w:t>
      </w:r>
      <w:r>
        <w:rPr>
          <w:rFonts w:ascii="Times New Roman" w:hAnsi="Times New Roman" w:cs="Times New Roman"/>
          <w:sz w:val="24"/>
          <w:szCs w:val="24"/>
          <w:lang w:val="en-US"/>
        </w:rPr>
        <w:t xml:space="preserve"> remaja</w:t>
      </w:r>
      <w:r w:rsidR="00D11A8A">
        <w:rPr>
          <w:rFonts w:ascii="Times New Roman" w:hAnsi="Times New Roman" w:cs="Times New Roman"/>
          <w:sz w:val="24"/>
          <w:szCs w:val="24"/>
          <w:lang w:val="en-US"/>
        </w:rPr>
        <w:t xml:space="preserve"> di Indonesia</w:t>
      </w:r>
      <w:r>
        <w:rPr>
          <w:rFonts w:ascii="Times New Roman" w:hAnsi="Times New Roman" w:cs="Times New Roman"/>
          <w:sz w:val="24"/>
          <w:szCs w:val="24"/>
          <w:lang w:val="en-US"/>
        </w:rPr>
        <w:t xml:space="preserve"> sudah mulai terlibat pada aktivitas seksual. Hasil SDKI 2017 memaparkan fakta bahwa 8% remaja pria dan 2% remaja wanita di Indonesia pernah melakukan hub</w:t>
      </w:r>
      <w:r w:rsidR="00D11A8A">
        <w:rPr>
          <w:rFonts w:ascii="Times New Roman" w:hAnsi="Times New Roman" w:cs="Times New Roman"/>
          <w:sz w:val="24"/>
          <w:szCs w:val="24"/>
          <w:lang w:val="en-US"/>
        </w:rPr>
        <w:t>ungan seksual pranikah. B</w:t>
      </w:r>
      <w:r>
        <w:rPr>
          <w:rFonts w:ascii="Times New Roman" w:hAnsi="Times New Roman" w:cs="Times New Roman"/>
          <w:sz w:val="24"/>
          <w:szCs w:val="24"/>
          <w:lang w:val="en-US"/>
        </w:rPr>
        <w:t>erdasarkan umur, data menunjukkan bahwa remaja pria usia 20-24 tahun persentasenya lebih tinggi yang melaporkan pengalaman seksual pranikah dibandingkan usia 15-19 yaitu 14% dibanding 4%. Hal tersebut</w:t>
      </w:r>
      <w:r w:rsidR="00D11A8A">
        <w:rPr>
          <w:rFonts w:ascii="Times New Roman" w:hAnsi="Times New Roman" w:cs="Times New Roman"/>
          <w:sz w:val="24"/>
          <w:szCs w:val="24"/>
          <w:lang w:val="en-US"/>
        </w:rPr>
        <w:t xml:space="preserve"> menunjukkan</w:t>
      </w:r>
      <w:r>
        <w:rPr>
          <w:rFonts w:ascii="Times New Roman" w:hAnsi="Times New Roman" w:cs="Times New Roman"/>
          <w:sz w:val="24"/>
          <w:szCs w:val="24"/>
          <w:lang w:val="en-US"/>
        </w:rPr>
        <w:t xml:space="preserve"> bahwa informasi kesehatan reproduksi pada usia remaja akhir</w:t>
      </w:r>
      <w:r w:rsidR="00D11A8A">
        <w:rPr>
          <w:rFonts w:ascii="Times New Roman" w:hAnsi="Times New Roman" w:cs="Times New Roman"/>
          <w:sz w:val="24"/>
          <w:szCs w:val="24"/>
          <w:lang w:val="en-US"/>
        </w:rPr>
        <w:t xml:space="preserve"> (20-24 tahun)</w:t>
      </w:r>
      <w:r>
        <w:rPr>
          <w:rFonts w:ascii="Times New Roman" w:hAnsi="Times New Roman" w:cs="Times New Roman"/>
          <w:sz w:val="24"/>
          <w:szCs w:val="24"/>
          <w:lang w:val="en-US"/>
        </w:rPr>
        <w:t xml:space="preserve"> masih penting untuk diberikan. Me</w:t>
      </w:r>
      <w:r w:rsidR="00D11A8A">
        <w:rPr>
          <w:rFonts w:ascii="Times New Roman" w:hAnsi="Times New Roman" w:cs="Times New Roman"/>
          <w:sz w:val="24"/>
          <w:szCs w:val="24"/>
          <w:lang w:val="en-US"/>
        </w:rPr>
        <w:t>ngingat bahwa sebagian besar fok</w:t>
      </w:r>
      <w:r>
        <w:rPr>
          <w:rFonts w:ascii="Times New Roman" w:hAnsi="Times New Roman" w:cs="Times New Roman"/>
          <w:sz w:val="24"/>
          <w:szCs w:val="24"/>
          <w:lang w:val="en-US"/>
        </w:rPr>
        <w:t>us program K</w:t>
      </w:r>
      <w:r w:rsidR="00D11A8A">
        <w:rPr>
          <w:rFonts w:ascii="Times New Roman" w:hAnsi="Times New Roman" w:cs="Times New Roman"/>
          <w:sz w:val="24"/>
          <w:szCs w:val="24"/>
          <w:lang w:val="en-US"/>
        </w:rPr>
        <w:t xml:space="preserve">esehatan </w:t>
      </w:r>
      <w:r>
        <w:rPr>
          <w:rFonts w:ascii="Times New Roman" w:hAnsi="Times New Roman" w:cs="Times New Roman"/>
          <w:sz w:val="24"/>
          <w:szCs w:val="24"/>
          <w:lang w:val="en-US"/>
        </w:rPr>
        <w:t>R</w:t>
      </w:r>
      <w:r w:rsidR="00D11A8A">
        <w:rPr>
          <w:rFonts w:ascii="Times New Roman" w:hAnsi="Times New Roman" w:cs="Times New Roman"/>
          <w:sz w:val="24"/>
          <w:szCs w:val="24"/>
          <w:lang w:val="en-US"/>
        </w:rPr>
        <w:t xml:space="preserve">eproduksi </w:t>
      </w:r>
      <w:r>
        <w:rPr>
          <w:rFonts w:ascii="Times New Roman" w:hAnsi="Times New Roman" w:cs="Times New Roman"/>
          <w:sz w:val="24"/>
          <w:szCs w:val="24"/>
          <w:lang w:val="en-US"/>
        </w:rPr>
        <w:t>R</w:t>
      </w:r>
      <w:r w:rsidR="00D11A8A">
        <w:rPr>
          <w:rFonts w:ascii="Times New Roman" w:hAnsi="Times New Roman" w:cs="Times New Roman"/>
          <w:sz w:val="24"/>
          <w:szCs w:val="24"/>
          <w:lang w:val="en-US"/>
        </w:rPr>
        <w:t>emaja adalah pada remaja 15-19 tahun</w:t>
      </w:r>
      <w:r>
        <w:rPr>
          <w:rFonts w:ascii="Times New Roman" w:hAnsi="Times New Roman" w:cs="Times New Roman"/>
          <w:sz w:val="24"/>
          <w:szCs w:val="24"/>
          <w:lang w:val="en-US"/>
        </w:rPr>
        <w:t>.</w:t>
      </w:r>
    </w:p>
    <w:p w:rsidR="00227123" w:rsidRDefault="00227123" w:rsidP="00227123">
      <w:pPr>
        <w:pStyle w:val="regular"/>
        <w:spacing w:line="360" w:lineRule="auto"/>
        <w:ind w:firstLine="567"/>
        <w:contextualSpacing/>
        <w:rPr>
          <w:rFonts w:ascii="Times New Roman" w:hAnsi="Times New Roman" w:cs="Times New Roman"/>
          <w:sz w:val="24"/>
          <w:szCs w:val="24"/>
          <w:lang w:val="en-US"/>
        </w:rPr>
      </w:pPr>
      <w:r>
        <w:rPr>
          <w:rFonts w:ascii="Times New Roman" w:hAnsi="Times New Roman" w:cs="Times New Roman"/>
          <w:sz w:val="24"/>
          <w:szCs w:val="24"/>
          <w:lang w:val="en-US"/>
        </w:rPr>
        <w:t>Untuk dapat memiliki pengetahuan tentang kesehatan reproduksi yang mumpuni serta berlaku yang terlindung dari risiko masalah kesehatan reproduksi, remaja perlu dapat mengakses informasi dan pusat pelayanan kes</w:t>
      </w:r>
      <w:r w:rsidR="00D11A8A">
        <w:rPr>
          <w:rFonts w:ascii="Times New Roman" w:hAnsi="Times New Roman" w:cs="Times New Roman"/>
          <w:sz w:val="24"/>
          <w:szCs w:val="24"/>
          <w:lang w:val="en-US"/>
        </w:rPr>
        <w:t>ehatan reproduksi yang tersedia(</w:t>
      </w:r>
      <w:r w:rsidR="00D11A8A" w:rsidRPr="00A065AA">
        <w:rPr>
          <w:rFonts w:ascii="Times New Roman" w:hAnsi="Times New Roman" w:cs="Times New Roman"/>
          <w:sz w:val="24"/>
          <w:szCs w:val="24"/>
          <w:lang w:val="en-US"/>
        </w:rPr>
        <w:t>Chandra-Mouli, V</w:t>
      </w:r>
      <w:r w:rsidR="00D11A8A">
        <w:rPr>
          <w:rFonts w:ascii="Times New Roman" w:hAnsi="Times New Roman" w:cs="Times New Roman"/>
          <w:sz w:val="24"/>
          <w:szCs w:val="24"/>
          <w:lang w:val="en-US"/>
        </w:rPr>
        <w:t xml:space="preserve"> dkk</w:t>
      </w:r>
      <w:r w:rsidR="00D11A8A" w:rsidRPr="00A065AA">
        <w:rPr>
          <w:rFonts w:ascii="Times New Roman" w:hAnsi="Times New Roman" w:cs="Times New Roman"/>
          <w:sz w:val="24"/>
          <w:szCs w:val="24"/>
          <w:lang w:val="en-US"/>
        </w:rPr>
        <w:t>, 2015</w:t>
      </w:r>
      <w:r w:rsidR="00D11A8A">
        <w:rPr>
          <w:rFonts w:ascii="Times New Roman" w:hAnsi="Times New Roman" w:cs="Times New Roman"/>
          <w:sz w:val="24"/>
          <w:szCs w:val="24"/>
          <w:lang w:val="en-US"/>
        </w:rPr>
        <w:t>).</w:t>
      </w:r>
      <w:r>
        <w:rPr>
          <w:rFonts w:ascii="Times New Roman" w:hAnsi="Times New Roman" w:cs="Times New Roman"/>
          <w:sz w:val="24"/>
          <w:szCs w:val="24"/>
          <w:lang w:val="en-US"/>
        </w:rPr>
        <w:t xml:space="preserve"> Sementara itu pengetahuan tentang akses informasi kesehatan reproduksi pada remaja dan fa</w:t>
      </w:r>
      <w:r w:rsidR="00D11A8A">
        <w:rPr>
          <w:rFonts w:ascii="Times New Roman" w:hAnsi="Times New Roman" w:cs="Times New Roman"/>
          <w:sz w:val="24"/>
          <w:szCs w:val="24"/>
          <w:lang w:val="en-US"/>
        </w:rPr>
        <w:t>k</w:t>
      </w:r>
      <w:r>
        <w:rPr>
          <w:rFonts w:ascii="Times New Roman" w:hAnsi="Times New Roman" w:cs="Times New Roman"/>
          <w:sz w:val="24"/>
          <w:szCs w:val="24"/>
          <w:lang w:val="en-US"/>
        </w:rPr>
        <w:t>tor-faktor yang mempengaruhinya di Indone</w:t>
      </w:r>
      <w:r w:rsidR="00D11A8A">
        <w:rPr>
          <w:rFonts w:ascii="Times New Roman" w:hAnsi="Times New Roman" w:cs="Times New Roman"/>
          <w:sz w:val="24"/>
          <w:szCs w:val="24"/>
          <w:lang w:val="en-US"/>
        </w:rPr>
        <w:t>sia masih terbatas. Beberapa fak</w:t>
      </w:r>
      <w:r>
        <w:rPr>
          <w:rFonts w:ascii="Times New Roman" w:hAnsi="Times New Roman" w:cs="Times New Roman"/>
          <w:sz w:val="24"/>
          <w:szCs w:val="24"/>
          <w:lang w:val="en-US"/>
        </w:rPr>
        <w:t>tor yang diketahui mempengaruhi diantaranya</w:t>
      </w:r>
      <w:r w:rsidR="00143475">
        <w:rPr>
          <w:rFonts w:ascii="Times New Roman" w:hAnsi="Times New Roman" w:cs="Times New Roman"/>
          <w:sz w:val="24"/>
          <w:szCs w:val="24"/>
          <w:lang w:val="en-US"/>
        </w:rPr>
        <w:t xml:space="preserve"> yaitu keahlian komunikasi interpersonal dan keterpercayaan tenaga kesehatan</w:t>
      </w:r>
      <w:r w:rsidR="00C70C35">
        <w:rPr>
          <w:rFonts w:ascii="Times New Roman" w:hAnsi="Times New Roman" w:cs="Times New Roman"/>
          <w:sz w:val="24"/>
          <w:szCs w:val="24"/>
          <w:lang w:val="en-US"/>
        </w:rPr>
        <w:t xml:space="preserve"> dan persepsi tidak membutuhkan informasi/pelayanan(</w:t>
      </w:r>
      <w:r w:rsidR="007563D6" w:rsidRPr="00E05C09">
        <w:rPr>
          <w:rFonts w:ascii="Times New Roman" w:hAnsi="Times New Roman" w:cs="Times New Roman"/>
          <w:sz w:val="24"/>
          <w:szCs w:val="24"/>
          <w:lang w:val="en-US"/>
        </w:rPr>
        <w:t>Coker dkk</w:t>
      </w:r>
      <w:r w:rsidR="00C70C35" w:rsidRPr="00E05C09">
        <w:rPr>
          <w:rFonts w:ascii="Times New Roman" w:hAnsi="Times New Roman" w:cs="Times New Roman"/>
          <w:sz w:val="24"/>
          <w:szCs w:val="24"/>
          <w:lang w:val="en-US"/>
        </w:rPr>
        <w:t>, 2010</w:t>
      </w:r>
      <w:r w:rsidR="00C70C35">
        <w:rPr>
          <w:rFonts w:ascii="Times New Roman" w:hAnsi="Times New Roman" w:cs="Times New Roman"/>
          <w:sz w:val="24"/>
          <w:szCs w:val="24"/>
          <w:lang w:val="en-US"/>
        </w:rPr>
        <w:t>)</w:t>
      </w:r>
      <w:r w:rsidR="007563D6">
        <w:rPr>
          <w:rFonts w:ascii="Times New Roman" w:hAnsi="Times New Roman" w:cs="Times New Roman"/>
          <w:sz w:val="24"/>
          <w:szCs w:val="24"/>
          <w:lang w:val="en-US"/>
        </w:rPr>
        <w:t>.</w:t>
      </w:r>
      <w:r w:rsidR="00C70C35">
        <w:rPr>
          <w:rFonts w:ascii="Times New Roman" w:hAnsi="Times New Roman" w:cs="Times New Roman"/>
          <w:sz w:val="24"/>
          <w:szCs w:val="24"/>
          <w:lang w:val="en-US"/>
        </w:rPr>
        <w:t xml:space="preserve">Bahkan jika remaja merasa membutuhkan informasi dan layanan banyak </w:t>
      </w:r>
      <w:r w:rsidR="007563D6">
        <w:rPr>
          <w:rFonts w:ascii="Times New Roman" w:hAnsi="Times New Roman" w:cs="Times New Roman"/>
          <w:sz w:val="24"/>
          <w:szCs w:val="24"/>
          <w:lang w:val="en-US"/>
        </w:rPr>
        <w:t>fak</w:t>
      </w:r>
      <w:r w:rsidR="00C70C35">
        <w:rPr>
          <w:rFonts w:ascii="Times New Roman" w:hAnsi="Times New Roman" w:cs="Times New Roman"/>
          <w:sz w:val="24"/>
          <w:szCs w:val="24"/>
          <w:lang w:val="en-US"/>
        </w:rPr>
        <w:t>tor dapat menghambat akses sehingga remaja batal mengakses sumber informasi dan pelayanan tersebut</w:t>
      </w:r>
      <w:r w:rsidR="00E81880">
        <w:rPr>
          <w:rFonts w:ascii="Times New Roman" w:hAnsi="Times New Roman" w:cs="Times New Roman"/>
          <w:sz w:val="24"/>
          <w:szCs w:val="24"/>
          <w:lang w:val="en-US"/>
        </w:rPr>
        <w:t xml:space="preserve"> (Perry dkk, 2012)</w:t>
      </w:r>
      <w:r w:rsidR="00C70C35">
        <w:rPr>
          <w:rFonts w:ascii="Times New Roman" w:hAnsi="Times New Roman" w:cs="Times New Roman"/>
          <w:sz w:val="24"/>
          <w:szCs w:val="24"/>
          <w:lang w:val="en-US"/>
        </w:rPr>
        <w:t>. Faktor tersebut meliputi ketidaktahuan keberadaan pusat informasi pelayanan kesehatan reproduksi</w:t>
      </w:r>
      <w:r w:rsidR="00E81880">
        <w:rPr>
          <w:rFonts w:ascii="Times New Roman" w:hAnsi="Times New Roman" w:cs="Times New Roman"/>
          <w:sz w:val="24"/>
          <w:szCs w:val="24"/>
          <w:lang w:val="en-US"/>
        </w:rPr>
        <w:t xml:space="preserve"> (hambatan kognitif)</w:t>
      </w:r>
      <w:r w:rsidR="00C70C35">
        <w:rPr>
          <w:rFonts w:ascii="Times New Roman" w:hAnsi="Times New Roman" w:cs="Times New Roman"/>
          <w:sz w:val="24"/>
          <w:szCs w:val="24"/>
          <w:lang w:val="en-US"/>
        </w:rPr>
        <w:t>, perasaan takut dan malu</w:t>
      </w:r>
      <w:r w:rsidR="00201320">
        <w:rPr>
          <w:rFonts w:ascii="Times New Roman" w:hAnsi="Times New Roman" w:cs="Times New Roman"/>
          <w:sz w:val="24"/>
          <w:szCs w:val="24"/>
          <w:lang w:val="en-US"/>
        </w:rPr>
        <w:t xml:space="preserve"> mendatang</w:t>
      </w:r>
      <w:r w:rsidR="00E81880">
        <w:rPr>
          <w:rFonts w:ascii="Times New Roman" w:hAnsi="Times New Roman" w:cs="Times New Roman"/>
          <w:sz w:val="24"/>
          <w:szCs w:val="24"/>
          <w:lang w:val="en-US"/>
        </w:rPr>
        <w:t>itempat tersebut (hambatan psikososial), hambatan struktural</w:t>
      </w:r>
      <w:r w:rsidR="00201320">
        <w:rPr>
          <w:rFonts w:ascii="Times New Roman" w:hAnsi="Times New Roman" w:cs="Times New Roman"/>
          <w:sz w:val="24"/>
          <w:szCs w:val="24"/>
          <w:lang w:val="en-US"/>
        </w:rPr>
        <w:t xml:space="preserve"> </w:t>
      </w:r>
      <w:r w:rsidR="00201320">
        <w:rPr>
          <w:rFonts w:ascii="Times New Roman" w:hAnsi="Times New Roman" w:cs="Times New Roman"/>
          <w:sz w:val="24"/>
          <w:szCs w:val="24"/>
          <w:lang w:val="en-US"/>
        </w:rPr>
        <w:lastRenderedPageBreak/>
        <w:t>seperti waktu jam buka</w:t>
      </w:r>
      <w:r w:rsidR="00E81880">
        <w:rPr>
          <w:rFonts w:ascii="Times New Roman" w:hAnsi="Times New Roman" w:cs="Times New Roman"/>
          <w:sz w:val="24"/>
          <w:szCs w:val="24"/>
          <w:lang w:val="en-US"/>
        </w:rPr>
        <w:t>,</w:t>
      </w:r>
      <w:r w:rsidR="007563D6">
        <w:rPr>
          <w:rFonts w:ascii="Times New Roman" w:hAnsi="Times New Roman" w:cs="Times New Roman"/>
          <w:sz w:val="24"/>
          <w:szCs w:val="24"/>
          <w:lang w:val="en-US"/>
        </w:rPr>
        <w:t xml:space="preserve"> waktu tunggu pelayanan, serta biaya pelayanan</w:t>
      </w:r>
      <w:r w:rsidR="00E81880">
        <w:rPr>
          <w:rFonts w:ascii="Times New Roman" w:hAnsi="Times New Roman" w:cs="Times New Roman"/>
          <w:sz w:val="24"/>
          <w:szCs w:val="24"/>
          <w:lang w:val="en-US"/>
        </w:rPr>
        <w:t xml:space="preserve"> (hambatan ekonomi)</w:t>
      </w:r>
      <w:r w:rsidR="007563D6">
        <w:rPr>
          <w:rFonts w:ascii="Times New Roman" w:hAnsi="Times New Roman" w:cs="Times New Roman"/>
          <w:sz w:val="24"/>
          <w:szCs w:val="24"/>
          <w:lang w:val="en-US"/>
        </w:rPr>
        <w:t xml:space="preserve"> (</w:t>
      </w:r>
      <w:r w:rsidR="00E81880">
        <w:rPr>
          <w:rFonts w:ascii="Times New Roman" w:hAnsi="Times New Roman" w:cs="Times New Roman"/>
          <w:sz w:val="24"/>
          <w:szCs w:val="24"/>
          <w:lang w:val="en-US"/>
        </w:rPr>
        <w:t>Perry dkk, 2012, Bankole dan Malancer, 2010</w:t>
      </w:r>
      <w:r w:rsidR="007563D6">
        <w:rPr>
          <w:rFonts w:ascii="Times New Roman" w:hAnsi="Times New Roman" w:cs="Times New Roman"/>
          <w:sz w:val="24"/>
          <w:szCs w:val="24"/>
          <w:lang w:val="en-US"/>
        </w:rPr>
        <w:t xml:space="preserve">). </w:t>
      </w:r>
    </w:p>
    <w:p w:rsidR="00BC3DF1" w:rsidRDefault="00213004" w:rsidP="00BC3DF1">
      <w:pPr>
        <w:pStyle w:val="regular"/>
        <w:spacing w:line="360" w:lineRule="auto"/>
        <w:ind w:firstLine="567"/>
        <w:contextualSpacing/>
        <w:rPr>
          <w:rFonts w:ascii="Times New Roman" w:hAnsi="Times New Roman" w:cs="Times New Roman"/>
          <w:sz w:val="24"/>
          <w:szCs w:val="24"/>
          <w:lang w:val="en-US"/>
        </w:rPr>
      </w:pPr>
      <w:r>
        <w:rPr>
          <w:rFonts w:ascii="Times New Roman" w:hAnsi="Times New Roman" w:cs="Times New Roman"/>
          <w:sz w:val="24"/>
          <w:szCs w:val="24"/>
          <w:lang w:val="en-US"/>
        </w:rPr>
        <w:t>Pengetahuan tentang sumber informasi dan pelayanan kesehatan reproduksi dapat menjadi titik masuk yang penting remaja bagi remaja untuk mengakses informasi, konseling dan pelayanan</w:t>
      </w:r>
      <w:r w:rsidR="00E05C09">
        <w:rPr>
          <w:rFonts w:ascii="Times New Roman" w:hAnsi="Times New Roman" w:cs="Times New Roman"/>
          <w:sz w:val="24"/>
          <w:szCs w:val="24"/>
          <w:lang w:val="en-US"/>
        </w:rPr>
        <w:t xml:space="preserve"> (Alli, F dkk, 2013)</w:t>
      </w:r>
      <w:r>
        <w:rPr>
          <w:rFonts w:ascii="Times New Roman" w:hAnsi="Times New Roman" w:cs="Times New Roman"/>
          <w:sz w:val="24"/>
          <w:szCs w:val="24"/>
          <w:lang w:val="en-US"/>
        </w:rPr>
        <w:t xml:space="preserve">. </w:t>
      </w:r>
      <w:r w:rsidR="00E05C09">
        <w:rPr>
          <w:rFonts w:ascii="Times New Roman" w:hAnsi="Times New Roman" w:cs="Times New Roman"/>
          <w:sz w:val="24"/>
          <w:szCs w:val="24"/>
          <w:lang w:val="en-US"/>
        </w:rPr>
        <w:t>Oleh karena itu</w:t>
      </w:r>
      <w:r w:rsidR="00227123">
        <w:rPr>
          <w:rFonts w:ascii="Times New Roman" w:hAnsi="Times New Roman" w:cs="Times New Roman"/>
          <w:sz w:val="24"/>
          <w:szCs w:val="24"/>
          <w:lang w:val="en-US"/>
        </w:rPr>
        <w:t xml:space="preserve"> peneliti tertarik un</w:t>
      </w:r>
      <w:r w:rsidR="00565448">
        <w:rPr>
          <w:rFonts w:ascii="Times New Roman" w:hAnsi="Times New Roman" w:cs="Times New Roman"/>
          <w:sz w:val="24"/>
          <w:szCs w:val="24"/>
          <w:lang w:val="en-US"/>
        </w:rPr>
        <w:t>tuk melakukan penelitian untuk menganalisis</w:t>
      </w:r>
      <w:r w:rsidR="00227123">
        <w:rPr>
          <w:rFonts w:ascii="Times New Roman" w:hAnsi="Times New Roman" w:cs="Times New Roman"/>
          <w:sz w:val="24"/>
          <w:szCs w:val="24"/>
          <w:lang w:val="en-US"/>
        </w:rPr>
        <w:t xml:space="preserve"> hubungan hambatan akses</w:t>
      </w:r>
      <w:r w:rsidR="002A00A1">
        <w:rPr>
          <w:rFonts w:ascii="Times New Roman" w:hAnsi="Times New Roman" w:cs="Times New Roman"/>
          <w:sz w:val="24"/>
          <w:szCs w:val="24"/>
          <w:lang w:val="en-US"/>
        </w:rPr>
        <w:t xml:space="preserve"> kognitif</w:t>
      </w:r>
      <w:r w:rsidR="00612655">
        <w:rPr>
          <w:rFonts w:ascii="Times New Roman" w:hAnsi="Times New Roman" w:cs="Times New Roman"/>
          <w:sz w:val="24"/>
          <w:szCs w:val="24"/>
          <w:lang w:val="en-US"/>
        </w:rPr>
        <w:t xml:space="preserve"> dengan akses</w:t>
      </w:r>
      <w:r w:rsidR="00227123">
        <w:rPr>
          <w:rFonts w:ascii="Times New Roman" w:hAnsi="Times New Roman" w:cs="Times New Roman"/>
          <w:sz w:val="24"/>
          <w:szCs w:val="24"/>
          <w:lang w:val="en-US"/>
        </w:rPr>
        <w:t xml:space="preserve"> informasi k</w:t>
      </w:r>
      <w:r w:rsidR="00BC3DF1">
        <w:rPr>
          <w:rFonts w:ascii="Times New Roman" w:hAnsi="Times New Roman" w:cs="Times New Roman"/>
          <w:sz w:val="24"/>
          <w:szCs w:val="24"/>
          <w:lang w:val="en-US"/>
        </w:rPr>
        <w:t xml:space="preserve">esehatan reproduksi </w:t>
      </w:r>
      <w:r w:rsidR="00227123">
        <w:rPr>
          <w:rFonts w:ascii="Times New Roman" w:hAnsi="Times New Roman" w:cs="Times New Roman"/>
          <w:sz w:val="24"/>
          <w:szCs w:val="24"/>
          <w:lang w:val="en-US"/>
        </w:rPr>
        <w:t>khususnya pada mahasiswa</w:t>
      </w:r>
      <w:r w:rsidR="00BC3DF1">
        <w:rPr>
          <w:rFonts w:ascii="Times New Roman" w:hAnsi="Times New Roman" w:cs="Times New Roman"/>
          <w:sz w:val="24"/>
          <w:szCs w:val="24"/>
          <w:lang w:val="en-US"/>
        </w:rPr>
        <w:t xml:space="preserve"> fakultas kesehatan</w:t>
      </w:r>
      <w:r w:rsidR="00227123">
        <w:rPr>
          <w:rFonts w:ascii="Times New Roman" w:hAnsi="Times New Roman" w:cs="Times New Roman"/>
          <w:sz w:val="24"/>
          <w:szCs w:val="24"/>
          <w:lang w:val="en-US"/>
        </w:rPr>
        <w:t xml:space="preserve">. </w:t>
      </w:r>
      <w:r w:rsidR="00A5536C">
        <w:rPr>
          <w:rFonts w:ascii="Times New Roman" w:hAnsi="Times New Roman" w:cs="Times New Roman"/>
          <w:sz w:val="24"/>
          <w:szCs w:val="24"/>
          <w:lang w:val="en-US"/>
        </w:rPr>
        <w:t>Selain itu peneliti menen</w:t>
      </w:r>
      <w:r w:rsidR="00E05C09">
        <w:rPr>
          <w:rFonts w:ascii="Times New Roman" w:hAnsi="Times New Roman" w:cs="Times New Roman"/>
          <w:sz w:val="24"/>
          <w:szCs w:val="24"/>
          <w:lang w:val="en-US"/>
        </w:rPr>
        <w:t>tu</w:t>
      </w:r>
      <w:r w:rsidR="00227123">
        <w:rPr>
          <w:rFonts w:ascii="Times New Roman" w:hAnsi="Times New Roman" w:cs="Times New Roman"/>
          <w:sz w:val="24"/>
          <w:szCs w:val="24"/>
          <w:lang w:val="en-US"/>
        </w:rPr>
        <w:t>kan lokasi di Universitas Muhammadiyah Surakarta dikarenakan universitas ini belum memili</w:t>
      </w:r>
      <w:r w:rsidR="00A5536C">
        <w:rPr>
          <w:rFonts w:ascii="Times New Roman" w:hAnsi="Times New Roman" w:cs="Times New Roman"/>
          <w:sz w:val="24"/>
          <w:szCs w:val="24"/>
          <w:lang w:val="en-US"/>
        </w:rPr>
        <w:t>ki pusat informasi dan layanan</w:t>
      </w:r>
      <w:r w:rsidR="00227123">
        <w:rPr>
          <w:rFonts w:ascii="Times New Roman" w:hAnsi="Times New Roman" w:cs="Times New Roman"/>
          <w:sz w:val="24"/>
          <w:szCs w:val="24"/>
          <w:lang w:val="en-US"/>
        </w:rPr>
        <w:t xml:space="preserve"> yang bergerak dibidang informasi kesehatan reproduksi. Pengkhususan pe</w:t>
      </w:r>
      <w:r w:rsidR="00BC3DF1">
        <w:rPr>
          <w:rFonts w:ascii="Times New Roman" w:hAnsi="Times New Roman" w:cs="Times New Roman"/>
          <w:sz w:val="24"/>
          <w:szCs w:val="24"/>
          <w:lang w:val="en-US"/>
        </w:rPr>
        <w:t>nelitian pada</w:t>
      </w:r>
      <w:r w:rsidR="00227123">
        <w:rPr>
          <w:rFonts w:ascii="Times New Roman" w:hAnsi="Times New Roman" w:cs="Times New Roman"/>
          <w:sz w:val="24"/>
          <w:szCs w:val="24"/>
          <w:lang w:val="en-US"/>
        </w:rPr>
        <w:t xml:space="preserve"> mahasiswa kesehatan tadi dikaitkan dengan alasan bahwa</w:t>
      </w:r>
      <w:r w:rsidR="00BC3DF1">
        <w:rPr>
          <w:rFonts w:ascii="Times New Roman" w:hAnsi="Times New Roman" w:cs="Times New Roman"/>
          <w:sz w:val="24"/>
          <w:szCs w:val="24"/>
          <w:lang w:val="en-US"/>
        </w:rPr>
        <w:t xml:space="preserve"> mahasiswa kesehatan</w:t>
      </w:r>
      <w:r w:rsidR="00227123">
        <w:rPr>
          <w:rFonts w:ascii="Times New Roman" w:hAnsi="Times New Roman" w:cs="Times New Roman"/>
          <w:sz w:val="24"/>
          <w:szCs w:val="24"/>
          <w:lang w:val="en-US"/>
        </w:rPr>
        <w:t xml:space="preserve"> sudah</w:t>
      </w:r>
      <w:r w:rsidR="00227123" w:rsidRPr="00210032">
        <w:rPr>
          <w:rFonts w:ascii="Times New Roman" w:hAnsi="Times New Roman" w:cs="Times New Roman"/>
          <w:sz w:val="24"/>
          <w:szCs w:val="24"/>
          <w:lang w:val="en-US"/>
        </w:rPr>
        <w:t xml:space="preserve"> terpapar informasi tentang kesehatan reproduksi pada proses </w:t>
      </w:r>
      <w:r w:rsidR="00227123">
        <w:rPr>
          <w:rFonts w:ascii="Times New Roman" w:hAnsi="Times New Roman" w:cs="Times New Roman"/>
          <w:sz w:val="24"/>
          <w:szCs w:val="24"/>
          <w:lang w:val="en-US"/>
        </w:rPr>
        <w:t>pembelajaran, yang diasumsikan memiliki cukup pengetahuan tentang kesehatan reproduksi sehingga akan</w:t>
      </w:r>
      <w:r w:rsidR="00227123" w:rsidRPr="00210032">
        <w:rPr>
          <w:rFonts w:ascii="Times New Roman" w:hAnsi="Times New Roman" w:cs="Times New Roman"/>
          <w:sz w:val="24"/>
          <w:szCs w:val="24"/>
          <w:lang w:val="en-US"/>
        </w:rPr>
        <w:t xml:space="preserve"> menimbulkan </w:t>
      </w:r>
      <w:r w:rsidR="00227123" w:rsidRPr="00121CB2">
        <w:rPr>
          <w:rFonts w:ascii="Times New Roman" w:hAnsi="Times New Roman" w:cs="Times New Roman"/>
          <w:i/>
          <w:sz w:val="24"/>
          <w:szCs w:val="24"/>
          <w:lang w:val="en-US"/>
        </w:rPr>
        <w:t>demand</w:t>
      </w:r>
      <w:r w:rsidR="00227123" w:rsidRPr="00210032">
        <w:rPr>
          <w:rFonts w:ascii="Times New Roman" w:hAnsi="Times New Roman" w:cs="Times New Roman"/>
          <w:sz w:val="24"/>
          <w:szCs w:val="24"/>
          <w:lang w:val="en-US"/>
        </w:rPr>
        <w:t xml:space="preserve"> untuk me</w:t>
      </w:r>
      <w:r w:rsidR="00227123">
        <w:rPr>
          <w:rFonts w:ascii="Times New Roman" w:hAnsi="Times New Roman" w:cs="Times New Roman"/>
          <w:sz w:val="24"/>
          <w:szCs w:val="24"/>
          <w:lang w:val="en-US"/>
        </w:rPr>
        <w:t>ngakses informasi kesehatan rep</w:t>
      </w:r>
      <w:r w:rsidR="00A5536C">
        <w:rPr>
          <w:rFonts w:ascii="Times New Roman" w:hAnsi="Times New Roman" w:cs="Times New Roman"/>
          <w:sz w:val="24"/>
          <w:szCs w:val="24"/>
          <w:lang w:val="en-US"/>
        </w:rPr>
        <w:t>roduksi</w:t>
      </w:r>
      <w:r w:rsidR="00227123" w:rsidRPr="00210032">
        <w:rPr>
          <w:rFonts w:ascii="Times New Roman" w:hAnsi="Times New Roman" w:cs="Times New Roman"/>
          <w:sz w:val="24"/>
          <w:szCs w:val="24"/>
          <w:lang w:val="en-US"/>
        </w:rPr>
        <w:t xml:space="preserve"> lebih lanjut</w:t>
      </w:r>
      <w:r w:rsidR="00227123">
        <w:rPr>
          <w:rFonts w:ascii="Times New Roman" w:hAnsi="Times New Roman" w:cs="Times New Roman"/>
          <w:sz w:val="24"/>
          <w:szCs w:val="24"/>
          <w:lang w:val="en-US"/>
        </w:rPr>
        <w:t>.</w:t>
      </w:r>
    </w:p>
    <w:p w:rsidR="002A00A1" w:rsidRPr="00BC3DF1" w:rsidRDefault="002A00A1" w:rsidP="00BC3DF1">
      <w:pPr>
        <w:pStyle w:val="regular"/>
        <w:spacing w:line="360" w:lineRule="auto"/>
        <w:ind w:firstLine="567"/>
        <w:contextualSpacing/>
        <w:rPr>
          <w:rFonts w:ascii="Times New Roman" w:hAnsi="Times New Roman" w:cs="Times New Roman"/>
          <w:sz w:val="24"/>
          <w:szCs w:val="24"/>
          <w:lang w:val="en-US"/>
        </w:rPr>
      </w:pPr>
    </w:p>
    <w:p w:rsidR="00CB612C" w:rsidRDefault="00CB612C" w:rsidP="00F10488">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t>METODE PENELITIAN</w:t>
      </w:r>
    </w:p>
    <w:p w:rsidR="004344F8" w:rsidRDefault="004344F8" w:rsidP="00143FBB">
      <w:pPr>
        <w:pStyle w:val="firstparagrah"/>
        <w:tabs>
          <w:tab w:val="left" w:pos="567"/>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344F8" w:rsidRPr="004344F8" w:rsidRDefault="005F67D5" w:rsidP="005F67D5">
      <w:pPr>
        <w:pStyle w:val="regular"/>
        <w:spacing w:line="360" w:lineRule="auto"/>
        <w:ind w:firstLine="567"/>
        <w:contextualSpacing/>
        <w:rPr>
          <w:rFonts w:ascii="Times New Roman" w:hAnsi="Times New Roman" w:cs="Times New Roman"/>
          <w:sz w:val="24"/>
          <w:szCs w:val="24"/>
        </w:rPr>
      </w:pPr>
      <w:r w:rsidRPr="005F67D5">
        <w:rPr>
          <w:rFonts w:ascii="Times New Roman" w:hAnsi="Times New Roman" w:cs="Times New Roman"/>
          <w:sz w:val="24"/>
          <w:szCs w:val="24"/>
        </w:rPr>
        <w:t>Penelitian</w:t>
      </w:r>
      <w:r>
        <w:rPr>
          <w:rFonts w:ascii="Times New Roman" w:hAnsi="Times New Roman"/>
          <w:sz w:val="24"/>
          <w:szCs w:val="24"/>
        </w:rPr>
        <w:t xml:space="preserve"> merupakan penelitian</w:t>
      </w:r>
      <w:r w:rsidRPr="00F24460">
        <w:rPr>
          <w:rFonts w:ascii="Times New Roman" w:hAnsi="Times New Roman" w:cs="Times New Roman"/>
          <w:sz w:val="24"/>
          <w:szCs w:val="24"/>
        </w:rPr>
        <w:t xml:space="preserve"> kuantitatif dengan desain penelitian observasional pendekatan </w:t>
      </w:r>
      <w:r w:rsidRPr="00F24460">
        <w:rPr>
          <w:rFonts w:ascii="Times New Roman" w:hAnsi="Times New Roman" w:cs="Times New Roman"/>
          <w:i/>
          <w:sz w:val="24"/>
          <w:szCs w:val="24"/>
        </w:rPr>
        <w:t>cross-sectional</w:t>
      </w:r>
      <w:r w:rsidRPr="00F24460">
        <w:rPr>
          <w:rFonts w:ascii="Times New Roman" w:hAnsi="Times New Roman" w:cs="Times New Roman"/>
          <w:sz w:val="24"/>
          <w:szCs w:val="24"/>
        </w:rPr>
        <w:t xml:space="preserve">. Penelitian ini dilakukan pada bulan Oktober 2018 di wilayah Universitas </w:t>
      </w:r>
      <w:r>
        <w:rPr>
          <w:rFonts w:ascii="Times New Roman" w:hAnsi="Times New Roman"/>
          <w:sz w:val="24"/>
          <w:szCs w:val="24"/>
        </w:rPr>
        <w:t>Muhammadiyah Surakarta yaitu</w:t>
      </w:r>
      <w:r w:rsidRPr="00F24460">
        <w:rPr>
          <w:rFonts w:ascii="Times New Roman" w:hAnsi="Times New Roman" w:cs="Times New Roman"/>
          <w:sz w:val="24"/>
          <w:szCs w:val="24"/>
        </w:rPr>
        <w:t xml:space="preserve"> di Fakultas Ilmu Kesehatan, Fakultas Farmasi, Fakultas Kedokteran, dan Fakultas Kedokteran Gigi. </w:t>
      </w:r>
      <w:r>
        <w:rPr>
          <w:rFonts w:ascii="Times New Roman" w:hAnsi="Times New Roman"/>
          <w:sz w:val="24"/>
          <w:szCs w:val="24"/>
        </w:rPr>
        <w:t xml:space="preserve">Populasi penelitian adalah mahasiswa </w:t>
      </w:r>
      <w:r w:rsidRPr="00F24460">
        <w:rPr>
          <w:rFonts w:ascii="Times New Roman" w:hAnsi="Times New Roman" w:cs="Times New Roman"/>
          <w:sz w:val="24"/>
          <w:szCs w:val="24"/>
        </w:rPr>
        <w:t xml:space="preserve">angkatan tahun 2015Fakultas Ilmu Kesehatan, Fakultas Farmasi, Fakultas Kedokteran, dan Fakultas Kedokteran Gigi </w:t>
      </w:r>
      <w:r>
        <w:rPr>
          <w:rFonts w:ascii="Times New Roman" w:hAnsi="Times New Roman"/>
          <w:sz w:val="24"/>
          <w:szCs w:val="24"/>
          <w:lang w:val="en-US"/>
        </w:rPr>
        <w:t xml:space="preserve">pada </w:t>
      </w:r>
      <w:r w:rsidRPr="00F24460">
        <w:rPr>
          <w:rFonts w:ascii="Times New Roman" w:hAnsi="Times New Roman" w:cs="Times New Roman"/>
          <w:sz w:val="24"/>
          <w:szCs w:val="24"/>
        </w:rPr>
        <w:t>di Universitas Muhammadiyah Su</w:t>
      </w:r>
      <w:r>
        <w:rPr>
          <w:rFonts w:ascii="Times New Roman" w:hAnsi="Times New Roman"/>
          <w:sz w:val="24"/>
          <w:szCs w:val="24"/>
        </w:rPr>
        <w:t>rakarta ber</w:t>
      </w:r>
      <w:r w:rsidRPr="00F24460">
        <w:rPr>
          <w:rFonts w:ascii="Times New Roman" w:hAnsi="Times New Roman" w:cs="Times New Roman"/>
          <w:sz w:val="24"/>
          <w:szCs w:val="24"/>
        </w:rPr>
        <w:t xml:space="preserve">jumlah 1.283 mahasiswa. </w:t>
      </w:r>
      <w:r w:rsidR="008D61D9">
        <w:rPr>
          <w:rFonts w:ascii="Times New Roman" w:hAnsi="Times New Roman" w:cs="Times New Roman"/>
          <w:sz w:val="24"/>
          <w:szCs w:val="24"/>
          <w:lang w:val="en-US"/>
        </w:rPr>
        <w:t xml:space="preserve">Sampel penelitian berjumlah 280 responden. </w:t>
      </w:r>
      <w:r w:rsidR="00BC3DF1">
        <w:rPr>
          <w:rFonts w:ascii="Times New Roman" w:hAnsi="Times New Roman"/>
          <w:sz w:val="24"/>
          <w:szCs w:val="24"/>
          <w:lang w:val="en-US"/>
        </w:rPr>
        <w:t>Penentuan besar sampel</w:t>
      </w:r>
      <w:r w:rsidR="008D61D9">
        <w:rPr>
          <w:rFonts w:ascii="Times New Roman" w:hAnsi="Times New Roman"/>
          <w:sz w:val="24"/>
          <w:szCs w:val="24"/>
          <w:lang w:val="en-US"/>
        </w:rPr>
        <w:t xml:space="preserve"> tersebut </w:t>
      </w:r>
      <w:r>
        <w:rPr>
          <w:rFonts w:ascii="Times New Roman" w:hAnsi="Times New Roman"/>
          <w:sz w:val="24"/>
          <w:szCs w:val="24"/>
          <w:lang w:val="en-US"/>
        </w:rPr>
        <w:t xml:space="preserve">menggunakan rumus Lemeshow </w:t>
      </w:r>
      <w:r w:rsidR="008D61D9">
        <w:rPr>
          <w:rFonts w:ascii="Times New Roman" w:hAnsi="Times New Roman"/>
          <w:sz w:val="24"/>
          <w:szCs w:val="24"/>
          <w:lang w:val="en-US"/>
        </w:rPr>
        <w:t xml:space="preserve">dan jumlah sampel yang didapat melebihi dari jumlah sampel minimal. </w:t>
      </w:r>
      <w:r>
        <w:rPr>
          <w:rFonts w:ascii="Times New Roman" w:hAnsi="Times New Roman" w:cs="Times New Roman"/>
          <w:sz w:val="24"/>
          <w:szCs w:val="24"/>
          <w:lang w:val="en-US"/>
        </w:rPr>
        <w:t>Pengambilan sampel meng</w:t>
      </w:r>
      <w:r>
        <w:rPr>
          <w:rFonts w:ascii="Times New Roman" w:hAnsi="Times New Roman" w:cs="Times New Roman"/>
          <w:sz w:val="24"/>
          <w:szCs w:val="24"/>
        </w:rPr>
        <w:t>gunakan teknik</w:t>
      </w:r>
      <w:r w:rsidRPr="00F24460">
        <w:rPr>
          <w:rFonts w:ascii="Times New Roman" w:hAnsi="Times New Roman" w:cs="Times New Roman"/>
          <w:i/>
          <w:sz w:val="24"/>
          <w:szCs w:val="24"/>
        </w:rPr>
        <w:t>Proportional Random Sampling</w:t>
      </w:r>
      <w:r w:rsidRPr="00F24460">
        <w:rPr>
          <w:rFonts w:ascii="Times New Roman" w:hAnsi="Times New Roman" w:cs="Times New Roman"/>
          <w:sz w:val="24"/>
          <w:szCs w:val="24"/>
        </w:rPr>
        <w:t>.</w:t>
      </w:r>
      <w:r w:rsidR="008D61D9">
        <w:rPr>
          <w:rFonts w:ascii="Times New Roman" w:hAnsi="Times New Roman" w:cs="Times New Roman"/>
          <w:sz w:val="24"/>
          <w:szCs w:val="24"/>
          <w:lang w:val="en-US"/>
        </w:rPr>
        <w:t xml:space="preserve"> Variabel be</w:t>
      </w:r>
      <w:r w:rsidR="001543C9">
        <w:rPr>
          <w:rFonts w:ascii="Times New Roman" w:hAnsi="Times New Roman" w:cs="Times New Roman"/>
          <w:sz w:val="24"/>
          <w:szCs w:val="24"/>
          <w:lang w:val="en-US"/>
        </w:rPr>
        <w:t>bas adalah hambatan akses (hambatan kognitif dan hambatan psikologis)</w:t>
      </w:r>
      <w:r w:rsidR="001D5502">
        <w:rPr>
          <w:rFonts w:ascii="Times New Roman" w:hAnsi="Times New Roman" w:cs="Times New Roman"/>
          <w:sz w:val="24"/>
          <w:szCs w:val="24"/>
          <w:lang w:val="en-US"/>
        </w:rPr>
        <w:t>.</w:t>
      </w:r>
      <w:r w:rsidR="001543C9">
        <w:rPr>
          <w:rFonts w:ascii="Times New Roman" w:hAnsi="Times New Roman" w:cs="Times New Roman"/>
          <w:sz w:val="24"/>
          <w:szCs w:val="24"/>
          <w:lang w:val="en-US"/>
        </w:rPr>
        <w:t xml:space="preserve"> Variabel terikat adalah </w:t>
      </w:r>
      <w:r w:rsidR="008D61D9">
        <w:rPr>
          <w:rFonts w:ascii="Times New Roman" w:hAnsi="Times New Roman" w:cs="Times New Roman"/>
          <w:sz w:val="24"/>
          <w:szCs w:val="24"/>
          <w:lang w:val="en-US"/>
        </w:rPr>
        <w:t xml:space="preserve">akses informasi kesehatan reproduksi </w:t>
      </w:r>
      <w:r w:rsidR="001543C9">
        <w:rPr>
          <w:rFonts w:ascii="Times New Roman" w:hAnsi="Times New Roman" w:cs="Times New Roman"/>
          <w:sz w:val="24"/>
          <w:szCs w:val="24"/>
          <w:lang w:val="en-US"/>
        </w:rPr>
        <w:t xml:space="preserve">yang </w:t>
      </w:r>
      <w:r w:rsidR="008D61D9">
        <w:rPr>
          <w:rFonts w:ascii="Times New Roman" w:hAnsi="Times New Roman" w:cs="Times New Roman"/>
          <w:sz w:val="24"/>
          <w:szCs w:val="24"/>
          <w:lang w:val="en-US"/>
        </w:rPr>
        <w:t>didefinisikan sebagai akses</w:t>
      </w:r>
      <w:r w:rsidR="001543C9">
        <w:rPr>
          <w:rFonts w:ascii="Times New Roman" w:hAnsi="Times New Roman" w:cs="Times New Roman"/>
          <w:sz w:val="24"/>
          <w:szCs w:val="24"/>
          <w:lang w:val="en-US"/>
        </w:rPr>
        <w:t xml:space="preserve"> responden mendapatkan informasi kesehatan reproduksi melalui tenaga kesehatan. </w:t>
      </w:r>
      <w:r w:rsidR="001D5502">
        <w:rPr>
          <w:rFonts w:ascii="Times New Roman" w:hAnsi="Times New Roman" w:cs="Times New Roman"/>
          <w:sz w:val="24"/>
          <w:szCs w:val="24"/>
          <w:lang w:val="en-US"/>
        </w:rPr>
        <w:t xml:space="preserve">Variabel luar adalah faktor permintaan (jenis kelamin dan </w:t>
      </w:r>
      <w:r w:rsidR="003660CF">
        <w:rPr>
          <w:rFonts w:ascii="Times New Roman" w:hAnsi="Times New Roman" w:cs="Times New Roman"/>
          <w:sz w:val="24"/>
          <w:szCs w:val="24"/>
          <w:lang w:val="en-US"/>
        </w:rPr>
        <w:t>tingkat penghasilan orang tua</w:t>
      </w:r>
      <w:r w:rsidR="001D5502">
        <w:rPr>
          <w:rFonts w:ascii="Times New Roman" w:hAnsi="Times New Roman" w:cs="Times New Roman"/>
          <w:sz w:val="24"/>
          <w:szCs w:val="24"/>
          <w:lang w:val="en-US"/>
        </w:rPr>
        <w:t xml:space="preserve">). Instrumen penelitian berupa </w:t>
      </w:r>
      <w:r w:rsidR="001D5502" w:rsidRPr="001D5502">
        <w:rPr>
          <w:rFonts w:ascii="Times New Roman" w:hAnsi="Times New Roman" w:cs="Times New Roman"/>
          <w:i/>
          <w:sz w:val="24"/>
          <w:szCs w:val="24"/>
          <w:lang w:val="en-US"/>
        </w:rPr>
        <w:t>self- administered</w:t>
      </w:r>
      <w:r w:rsidR="001D5502">
        <w:rPr>
          <w:rFonts w:ascii="Times New Roman" w:hAnsi="Times New Roman" w:cs="Times New Roman"/>
          <w:sz w:val="24"/>
          <w:szCs w:val="24"/>
          <w:lang w:val="en-US"/>
        </w:rPr>
        <w:t xml:space="preserve"> kuesioner yang sudah diuji validitas dan reliabilitas. </w:t>
      </w:r>
      <w:r w:rsidR="00A85D05">
        <w:rPr>
          <w:rFonts w:ascii="Times New Roman" w:hAnsi="Times New Roman" w:cs="Times New Roman"/>
          <w:sz w:val="24"/>
          <w:szCs w:val="24"/>
          <w:lang w:val="en-US"/>
        </w:rPr>
        <w:t xml:space="preserve">Analisis data </w:t>
      </w:r>
      <w:r w:rsidR="00BC3DF1">
        <w:rPr>
          <w:rFonts w:ascii="Times New Roman" w:hAnsi="Times New Roman" w:cs="Times New Roman"/>
          <w:sz w:val="24"/>
          <w:szCs w:val="24"/>
          <w:lang w:val="en-US"/>
        </w:rPr>
        <w:t>meliputi analisis bivariabel</w:t>
      </w:r>
      <w:r w:rsidR="001D5502" w:rsidRPr="001D5502">
        <w:rPr>
          <w:rFonts w:ascii="Times New Roman" w:hAnsi="Times New Roman" w:cs="Times New Roman"/>
          <w:sz w:val="24"/>
          <w:szCs w:val="24"/>
          <w:lang w:val="en-US"/>
        </w:rPr>
        <w:t xml:space="preserve"> menggunakan</w:t>
      </w:r>
      <w:r w:rsidRPr="001D5502">
        <w:rPr>
          <w:rFonts w:ascii="Times New Roman" w:hAnsi="Times New Roman" w:cs="Times New Roman"/>
          <w:sz w:val="24"/>
          <w:szCs w:val="24"/>
          <w:lang w:val="en-US"/>
        </w:rPr>
        <w:t xml:space="preserve"> uji statistik Chi-Square </w:t>
      </w:r>
      <w:r w:rsidR="00A85D05">
        <w:rPr>
          <w:rFonts w:ascii="Times New Roman" w:hAnsi="Times New Roman" w:cs="Times New Roman"/>
          <w:sz w:val="24"/>
          <w:szCs w:val="24"/>
          <w:lang w:val="en-US"/>
        </w:rPr>
        <w:t>dan analisis multivariabel</w:t>
      </w:r>
      <w:r w:rsidR="001D5502" w:rsidRPr="001D5502">
        <w:rPr>
          <w:rFonts w:ascii="Times New Roman" w:hAnsi="Times New Roman" w:cs="Times New Roman"/>
          <w:sz w:val="24"/>
          <w:szCs w:val="24"/>
          <w:lang w:val="en-US"/>
        </w:rPr>
        <w:t xml:space="preserve"> menggunakan uji regresi logistic dengan dengan kemaknaan 95%</w:t>
      </w:r>
      <w:r w:rsidR="001D5502">
        <w:rPr>
          <w:rFonts w:ascii="Times New Roman" w:hAnsi="Times New Roman" w:cs="Times New Roman"/>
          <w:sz w:val="24"/>
          <w:szCs w:val="24"/>
          <w:lang w:val="en-US"/>
        </w:rPr>
        <w:t>.</w:t>
      </w:r>
    </w:p>
    <w:p w:rsidR="00CB612C" w:rsidRPr="00F56C23" w:rsidRDefault="00CB612C" w:rsidP="00F56C23">
      <w:pPr>
        <w:pStyle w:val="firstparagrah"/>
        <w:spacing w:line="240" w:lineRule="auto"/>
        <w:contextualSpacing/>
        <w:rPr>
          <w:rFonts w:ascii="Times New Roman" w:hAnsi="Times New Roman" w:cs="Times New Roman"/>
          <w:sz w:val="24"/>
          <w:szCs w:val="24"/>
        </w:rPr>
      </w:pPr>
    </w:p>
    <w:p w:rsidR="00CB612C" w:rsidRDefault="00CB612C" w:rsidP="00D91852">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t>HASIL DAN PEMBAHASAN</w:t>
      </w:r>
    </w:p>
    <w:p w:rsidR="00F10488" w:rsidRPr="00F56C23" w:rsidRDefault="00F10488" w:rsidP="00D91852">
      <w:pPr>
        <w:pStyle w:val="firstparagrah"/>
        <w:spacing w:line="240" w:lineRule="auto"/>
        <w:contextualSpacing/>
        <w:rPr>
          <w:rFonts w:ascii="Times New Roman" w:hAnsi="Times New Roman" w:cs="Times New Roman"/>
          <w:b/>
          <w:sz w:val="24"/>
          <w:szCs w:val="24"/>
        </w:rPr>
      </w:pPr>
    </w:p>
    <w:p w:rsidR="00751933" w:rsidRDefault="00751933" w:rsidP="0025261A">
      <w:pPr>
        <w:pStyle w:val="firstparagrah"/>
        <w:tabs>
          <w:tab w:val="clear" w:pos="142"/>
          <w:tab w:val="left" w:pos="426"/>
        </w:tabs>
        <w:spacing w:line="36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Karakteristik Responden</w:t>
      </w:r>
    </w:p>
    <w:p w:rsidR="00751933" w:rsidRPr="00BD473E" w:rsidRDefault="003660CF" w:rsidP="00BD473E">
      <w:pPr>
        <w:pStyle w:val="ListParagraph"/>
        <w:tabs>
          <w:tab w:val="left" w:pos="284"/>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lang w:val="en-US"/>
        </w:rPr>
        <w:t>Pengolahan data karakteristik responden berdasarkan jenis kelamin, umur dan tingkat penghasilan orang tua menunjukkan bahwa l</w:t>
      </w:r>
      <w:r w:rsidR="002E4DFF">
        <w:rPr>
          <w:rFonts w:ascii="Times New Roman" w:hAnsi="Times New Roman"/>
          <w:sz w:val="24"/>
          <w:szCs w:val="24"/>
          <w:lang w:val="en-US"/>
        </w:rPr>
        <w:t>ebih dari tiga perempat responden merupakan perempuan. Mayorita</w:t>
      </w:r>
      <w:r>
        <w:rPr>
          <w:rFonts w:ascii="Times New Roman" w:hAnsi="Times New Roman"/>
          <w:sz w:val="24"/>
          <w:szCs w:val="24"/>
          <w:lang w:val="en-US"/>
        </w:rPr>
        <w:t>s responden berusia 21 tahun. T</w:t>
      </w:r>
      <w:r w:rsidR="002E4DFF">
        <w:rPr>
          <w:rFonts w:ascii="Times New Roman" w:hAnsi="Times New Roman"/>
          <w:sz w:val="24"/>
          <w:szCs w:val="24"/>
          <w:lang w:val="en-US"/>
        </w:rPr>
        <w:t>ingk</w:t>
      </w:r>
      <w:r w:rsidR="00A85D05">
        <w:rPr>
          <w:rFonts w:ascii="Times New Roman" w:hAnsi="Times New Roman"/>
          <w:sz w:val="24"/>
          <w:szCs w:val="24"/>
          <w:lang w:val="en-US"/>
        </w:rPr>
        <w:t>at penghasilan orang tua sebagia</w:t>
      </w:r>
      <w:r w:rsidR="002E4DFF">
        <w:rPr>
          <w:rFonts w:ascii="Times New Roman" w:hAnsi="Times New Roman"/>
          <w:sz w:val="24"/>
          <w:szCs w:val="24"/>
          <w:lang w:val="en-US"/>
        </w:rPr>
        <w:t xml:space="preserve">n besar merupakan pada kelompok penghasilan tinggi. </w:t>
      </w:r>
      <w:r w:rsidR="00F50B8D">
        <w:rPr>
          <w:rFonts w:ascii="Times New Roman" w:hAnsi="Times New Roman"/>
          <w:sz w:val="24"/>
          <w:szCs w:val="24"/>
          <w:lang w:val="en-US"/>
        </w:rPr>
        <w:t>Lebih dari sepertiga responden mengalami hambatan kognitif dan hambatan psikologis. Perhatian lebih lanjut ditujukan pada hambatan kognitif. Karena responden adalah mahasiswa fakultas-fakultas kesehatan sehingga disayangkan masih terdapat responden yang tidak mengetahui fasilitas yang menyediakan informasi kesehatan reproduksi terpercaya.</w:t>
      </w:r>
    </w:p>
    <w:p w:rsidR="00751933" w:rsidRPr="002A00A1" w:rsidRDefault="00751933" w:rsidP="002A00A1">
      <w:pPr>
        <w:autoSpaceDE w:val="0"/>
        <w:autoSpaceDN w:val="0"/>
        <w:adjustRightInd w:val="0"/>
        <w:spacing w:after="0" w:line="240" w:lineRule="auto"/>
        <w:jc w:val="center"/>
        <w:rPr>
          <w:rFonts w:ascii="Times New Roman" w:eastAsia="Calibri" w:hAnsi="Times New Roman"/>
          <w:lang w:val="en-US"/>
        </w:rPr>
      </w:pPr>
      <w:r w:rsidRPr="002A00A1">
        <w:rPr>
          <w:rFonts w:ascii="Times New Roman" w:eastAsia="Calibri" w:hAnsi="Times New Roman"/>
        </w:rPr>
        <w:t>Tabel 1.Karakteristik Responden</w:t>
      </w:r>
    </w:p>
    <w:tbl>
      <w:tblPr>
        <w:tblStyle w:val="TableGrid"/>
        <w:tblW w:w="7560" w:type="dxa"/>
        <w:tblInd w:w="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8"/>
        <w:gridCol w:w="2070"/>
        <w:gridCol w:w="1812"/>
      </w:tblGrid>
      <w:tr w:rsidR="002E4DFF" w:rsidRPr="002333D6" w:rsidTr="002333D6">
        <w:tc>
          <w:tcPr>
            <w:tcW w:w="3678" w:type="dxa"/>
            <w:tcBorders>
              <w:top w:val="single" w:sz="4" w:space="0" w:color="auto"/>
              <w:bottom w:val="single" w:sz="4" w:space="0" w:color="auto"/>
            </w:tcBorders>
          </w:tcPr>
          <w:p w:rsidR="002E4DFF" w:rsidRPr="002333D6" w:rsidRDefault="002E4DFF" w:rsidP="003E603A">
            <w:pPr>
              <w:spacing w:after="0" w:line="240" w:lineRule="auto"/>
              <w:jc w:val="center"/>
              <w:rPr>
                <w:rFonts w:ascii="Times New Roman" w:hAnsi="Times New Roman" w:cs="Times New Roman"/>
                <w:b/>
                <w:sz w:val="20"/>
                <w:szCs w:val="20"/>
              </w:rPr>
            </w:pPr>
            <w:r w:rsidRPr="002333D6">
              <w:rPr>
                <w:rFonts w:ascii="Times New Roman" w:hAnsi="Times New Roman" w:cs="Times New Roman"/>
                <w:b/>
                <w:sz w:val="20"/>
                <w:szCs w:val="20"/>
              </w:rPr>
              <w:t>Variabel</w:t>
            </w:r>
          </w:p>
        </w:tc>
        <w:tc>
          <w:tcPr>
            <w:tcW w:w="2070" w:type="dxa"/>
            <w:tcBorders>
              <w:top w:val="single" w:sz="4" w:space="0" w:color="auto"/>
              <w:bottom w:val="single" w:sz="4" w:space="0" w:color="auto"/>
            </w:tcBorders>
          </w:tcPr>
          <w:p w:rsidR="002E4DFF" w:rsidRPr="002333D6" w:rsidRDefault="002E4DFF" w:rsidP="003E603A">
            <w:pPr>
              <w:spacing w:after="0" w:line="240" w:lineRule="auto"/>
              <w:jc w:val="center"/>
              <w:rPr>
                <w:rFonts w:ascii="Times New Roman" w:hAnsi="Times New Roman" w:cs="Times New Roman"/>
                <w:b/>
                <w:sz w:val="20"/>
                <w:szCs w:val="20"/>
              </w:rPr>
            </w:pPr>
            <w:r w:rsidRPr="002333D6">
              <w:rPr>
                <w:rFonts w:ascii="Times New Roman" w:hAnsi="Times New Roman" w:cs="Times New Roman"/>
                <w:b/>
                <w:sz w:val="20"/>
                <w:szCs w:val="20"/>
              </w:rPr>
              <w:t>Frekuensi</w:t>
            </w:r>
          </w:p>
        </w:tc>
        <w:tc>
          <w:tcPr>
            <w:tcW w:w="1812" w:type="dxa"/>
            <w:tcBorders>
              <w:top w:val="single" w:sz="4" w:space="0" w:color="auto"/>
              <w:bottom w:val="single" w:sz="4" w:space="0" w:color="auto"/>
            </w:tcBorders>
          </w:tcPr>
          <w:p w:rsidR="002E4DFF" w:rsidRPr="002333D6" w:rsidRDefault="002E4DFF" w:rsidP="003E603A">
            <w:pPr>
              <w:spacing w:after="0" w:line="240" w:lineRule="auto"/>
              <w:jc w:val="center"/>
              <w:rPr>
                <w:rFonts w:ascii="Times New Roman" w:hAnsi="Times New Roman" w:cs="Times New Roman"/>
                <w:b/>
                <w:sz w:val="20"/>
                <w:szCs w:val="20"/>
              </w:rPr>
            </w:pPr>
            <w:r w:rsidRPr="002333D6">
              <w:rPr>
                <w:rFonts w:ascii="Times New Roman" w:hAnsi="Times New Roman" w:cs="Times New Roman"/>
                <w:b/>
                <w:sz w:val="20"/>
                <w:szCs w:val="20"/>
              </w:rPr>
              <w:t>Persentase(%)</w:t>
            </w:r>
          </w:p>
        </w:tc>
      </w:tr>
      <w:tr w:rsidR="002E4DFF" w:rsidRPr="002333D6" w:rsidTr="002333D6">
        <w:tc>
          <w:tcPr>
            <w:tcW w:w="3678" w:type="dxa"/>
            <w:tcBorders>
              <w:top w:val="single" w:sz="4" w:space="0" w:color="auto"/>
            </w:tcBorders>
          </w:tcPr>
          <w:p w:rsidR="002E4DFF" w:rsidRPr="002333D6" w:rsidRDefault="002E4DFF" w:rsidP="003E603A">
            <w:pPr>
              <w:spacing w:after="0" w:line="240" w:lineRule="auto"/>
              <w:rPr>
                <w:rFonts w:ascii="Times New Roman" w:hAnsi="Times New Roman" w:cs="Times New Roman"/>
                <w:b/>
                <w:sz w:val="20"/>
                <w:szCs w:val="20"/>
              </w:rPr>
            </w:pPr>
            <w:r w:rsidRPr="002333D6">
              <w:rPr>
                <w:rFonts w:ascii="Times New Roman" w:hAnsi="Times New Roman" w:cs="Times New Roman"/>
                <w:b/>
                <w:sz w:val="20"/>
                <w:szCs w:val="20"/>
              </w:rPr>
              <w:t>Jenis Kelamin</w:t>
            </w:r>
          </w:p>
          <w:p w:rsidR="002E4DFF" w:rsidRPr="002333D6" w:rsidRDefault="002E4DFF" w:rsidP="002333D6">
            <w:pPr>
              <w:spacing w:after="0" w:line="240" w:lineRule="auto"/>
              <w:ind w:left="60"/>
              <w:rPr>
                <w:rFonts w:ascii="Times New Roman" w:hAnsi="Times New Roman" w:cs="Times New Roman"/>
                <w:sz w:val="20"/>
                <w:szCs w:val="20"/>
              </w:rPr>
            </w:pPr>
            <w:r w:rsidRPr="002333D6">
              <w:rPr>
                <w:rFonts w:ascii="Times New Roman" w:hAnsi="Times New Roman" w:cs="Times New Roman"/>
                <w:sz w:val="20"/>
                <w:szCs w:val="20"/>
              </w:rPr>
              <w:t>Laki-laki</w:t>
            </w:r>
          </w:p>
          <w:p w:rsidR="002E4DFF" w:rsidRPr="002333D6" w:rsidRDefault="002E4DFF" w:rsidP="002333D6">
            <w:pPr>
              <w:spacing w:after="0" w:line="240" w:lineRule="auto"/>
              <w:ind w:left="60"/>
              <w:rPr>
                <w:rFonts w:ascii="Times New Roman" w:hAnsi="Times New Roman" w:cs="Times New Roman"/>
                <w:sz w:val="20"/>
                <w:szCs w:val="20"/>
              </w:rPr>
            </w:pPr>
            <w:r w:rsidRPr="002333D6">
              <w:rPr>
                <w:rFonts w:ascii="Times New Roman" w:hAnsi="Times New Roman" w:cs="Times New Roman"/>
                <w:sz w:val="20"/>
                <w:szCs w:val="20"/>
              </w:rPr>
              <w:t>Perempuan</w:t>
            </w:r>
          </w:p>
        </w:tc>
        <w:tc>
          <w:tcPr>
            <w:tcW w:w="2070" w:type="dxa"/>
            <w:tcBorders>
              <w:top w:val="single" w:sz="4" w:space="0" w:color="auto"/>
            </w:tcBorders>
          </w:tcPr>
          <w:p w:rsidR="002E4DFF" w:rsidRPr="002333D6" w:rsidRDefault="002E4DFF" w:rsidP="002333D6">
            <w:pPr>
              <w:spacing w:after="0" w:line="240" w:lineRule="auto"/>
              <w:jc w:val="right"/>
              <w:rPr>
                <w:rFonts w:ascii="Times New Roman" w:hAnsi="Times New Roman" w:cs="Times New Roman"/>
                <w:sz w:val="20"/>
                <w:szCs w:val="20"/>
              </w:rPr>
            </w:pPr>
          </w:p>
          <w:p w:rsidR="002E4DFF" w:rsidRPr="002333D6" w:rsidRDefault="002E4DFF" w:rsidP="002333D6">
            <w:pPr>
              <w:spacing w:after="0" w:line="240" w:lineRule="auto"/>
              <w:jc w:val="right"/>
              <w:rPr>
                <w:rFonts w:ascii="Times New Roman" w:hAnsi="Times New Roman" w:cs="Times New Roman"/>
                <w:sz w:val="20"/>
                <w:szCs w:val="20"/>
              </w:rPr>
            </w:pPr>
            <w:r w:rsidRPr="002333D6">
              <w:rPr>
                <w:rFonts w:ascii="Times New Roman" w:hAnsi="Times New Roman" w:cs="Times New Roman"/>
                <w:sz w:val="20"/>
                <w:szCs w:val="20"/>
              </w:rPr>
              <w:t>56</w:t>
            </w:r>
          </w:p>
          <w:p w:rsidR="002E4DFF" w:rsidRPr="002333D6" w:rsidRDefault="002E4DFF" w:rsidP="002333D6">
            <w:pPr>
              <w:spacing w:after="0" w:line="240" w:lineRule="auto"/>
              <w:jc w:val="right"/>
              <w:rPr>
                <w:rFonts w:ascii="Times New Roman" w:hAnsi="Times New Roman" w:cs="Times New Roman"/>
                <w:sz w:val="20"/>
                <w:szCs w:val="20"/>
              </w:rPr>
            </w:pPr>
            <w:r w:rsidRPr="002333D6">
              <w:rPr>
                <w:rFonts w:ascii="Times New Roman" w:hAnsi="Times New Roman" w:cs="Times New Roman"/>
                <w:sz w:val="20"/>
                <w:szCs w:val="20"/>
              </w:rPr>
              <w:t>224</w:t>
            </w:r>
          </w:p>
        </w:tc>
        <w:tc>
          <w:tcPr>
            <w:tcW w:w="1812" w:type="dxa"/>
            <w:tcBorders>
              <w:top w:val="single" w:sz="4" w:space="0" w:color="auto"/>
            </w:tcBorders>
          </w:tcPr>
          <w:p w:rsidR="002E4DFF" w:rsidRPr="002333D6" w:rsidRDefault="002E4DFF" w:rsidP="002333D6">
            <w:pPr>
              <w:spacing w:after="0" w:line="240" w:lineRule="auto"/>
              <w:jc w:val="right"/>
              <w:rPr>
                <w:rFonts w:ascii="Times New Roman" w:hAnsi="Times New Roman" w:cs="Times New Roman"/>
                <w:sz w:val="20"/>
                <w:szCs w:val="20"/>
              </w:rPr>
            </w:pPr>
          </w:p>
          <w:p w:rsidR="002E4DFF" w:rsidRPr="002333D6" w:rsidRDefault="002E4DFF" w:rsidP="002333D6">
            <w:pPr>
              <w:spacing w:after="0" w:line="240" w:lineRule="auto"/>
              <w:jc w:val="right"/>
              <w:rPr>
                <w:rFonts w:ascii="Times New Roman" w:hAnsi="Times New Roman" w:cs="Times New Roman"/>
                <w:sz w:val="20"/>
                <w:szCs w:val="20"/>
              </w:rPr>
            </w:pPr>
            <w:r w:rsidRPr="002333D6">
              <w:rPr>
                <w:rFonts w:ascii="Times New Roman" w:hAnsi="Times New Roman" w:cs="Times New Roman"/>
                <w:sz w:val="20"/>
                <w:szCs w:val="20"/>
              </w:rPr>
              <w:t>20</w:t>
            </w:r>
          </w:p>
          <w:p w:rsidR="002E4DFF" w:rsidRPr="002333D6" w:rsidRDefault="002E4DFF" w:rsidP="002333D6">
            <w:pPr>
              <w:spacing w:after="0" w:line="240" w:lineRule="auto"/>
              <w:jc w:val="right"/>
              <w:rPr>
                <w:rFonts w:ascii="Times New Roman" w:hAnsi="Times New Roman" w:cs="Times New Roman"/>
                <w:sz w:val="20"/>
                <w:szCs w:val="20"/>
              </w:rPr>
            </w:pPr>
            <w:r w:rsidRPr="002333D6">
              <w:rPr>
                <w:rFonts w:ascii="Times New Roman" w:hAnsi="Times New Roman" w:cs="Times New Roman"/>
                <w:sz w:val="20"/>
                <w:szCs w:val="20"/>
              </w:rPr>
              <w:t>80</w:t>
            </w:r>
          </w:p>
        </w:tc>
      </w:tr>
      <w:tr w:rsidR="002E4DFF" w:rsidRPr="002333D6" w:rsidTr="002333D6">
        <w:tc>
          <w:tcPr>
            <w:tcW w:w="3678" w:type="dxa"/>
          </w:tcPr>
          <w:p w:rsidR="002E4DFF" w:rsidRPr="002333D6" w:rsidRDefault="002E4DFF" w:rsidP="00BD473E">
            <w:pPr>
              <w:spacing w:after="0" w:line="240" w:lineRule="auto"/>
              <w:rPr>
                <w:rFonts w:ascii="Times New Roman" w:hAnsi="Times New Roman" w:cs="Times New Roman"/>
                <w:b/>
                <w:sz w:val="20"/>
                <w:szCs w:val="20"/>
              </w:rPr>
            </w:pPr>
            <w:r w:rsidRPr="002333D6">
              <w:rPr>
                <w:rFonts w:ascii="Times New Roman" w:hAnsi="Times New Roman" w:cs="Times New Roman"/>
                <w:b/>
                <w:sz w:val="20"/>
                <w:szCs w:val="20"/>
              </w:rPr>
              <w:t>Umur</w:t>
            </w:r>
          </w:p>
          <w:p w:rsidR="002E4DFF" w:rsidRPr="002333D6" w:rsidRDefault="002E4DFF" w:rsidP="00BD473E">
            <w:pPr>
              <w:spacing w:after="0" w:line="240" w:lineRule="auto"/>
              <w:rPr>
                <w:rFonts w:ascii="Times New Roman" w:hAnsi="Times New Roman" w:cs="Times New Roman"/>
                <w:sz w:val="20"/>
                <w:szCs w:val="20"/>
                <w:lang w:val="en-US"/>
              </w:rPr>
            </w:pPr>
            <w:r w:rsidRPr="002333D6">
              <w:rPr>
                <w:rFonts w:ascii="Times New Roman" w:hAnsi="Times New Roman" w:cs="Times New Roman"/>
                <w:sz w:val="20"/>
                <w:szCs w:val="20"/>
                <w:lang w:val="en-US"/>
              </w:rPr>
              <w:t>20</w:t>
            </w:r>
          </w:p>
          <w:p w:rsidR="002E4DFF" w:rsidRPr="002333D6" w:rsidRDefault="002E4DFF" w:rsidP="00BD473E">
            <w:pPr>
              <w:spacing w:after="0" w:line="240" w:lineRule="auto"/>
              <w:rPr>
                <w:rFonts w:ascii="Times New Roman" w:hAnsi="Times New Roman" w:cs="Times New Roman"/>
                <w:sz w:val="20"/>
                <w:szCs w:val="20"/>
                <w:lang w:val="en-US"/>
              </w:rPr>
            </w:pPr>
            <w:r w:rsidRPr="002333D6">
              <w:rPr>
                <w:rFonts w:ascii="Times New Roman" w:hAnsi="Times New Roman" w:cs="Times New Roman"/>
                <w:sz w:val="20"/>
                <w:szCs w:val="20"/>
                <w:lang w:val="en-US"/>
              </w:rPr>
              <w:t>21</w:t>
            </w:r>
          </w:p>
          <w:p w:rsidR="002E4DFF" w:rsidRPr="002333D6" w:rsidRDefault="002E4DFF" w:rsidP="00BD473E">
            <w:pPr>
              <w:spacing w:after="0" w:line="240" w:lineRule="auto"/>
              <w:rPr>
                <w:rFonts w:ascii="Times New Roman" w:hAnsi="Times New Roman" w:cs="Times New Roman"/>
                <w:sz w:val="20"/>
                <w:szCs w:val="20"/>
                <w:lang w:val="en-US"/>
              </w:rPr>
            </w:pPr>
            <w:r w:rsidRPr="002333D6">
              <w:rPr>
                <w:rFonts w:ascii="Times New Roman" w:hAnsi="Times New Roman" w:cs="Times New Roman"/>
                <w:sz w:val="20"/>
                <w:szCs w:val="20"/>
                <w:lang w:val="en-US"/>
              </w:rPr>
              <w:t>22</w:t>
            </w:r>
          </w:p>
          <w:p w:rsidR="002E4DFF" w:rsidRPr="002333D6" w:rsidRDefault="002E4DFF" w:rsidP="00BD473E">
            <w:pPr>
              <w:spacing w:after="0" w:line="240" w:lineRule="auto"/>
              <w:rPr>
                <w:rFonts w:ascii="Times New Roman" w:hAnsi="Times New Roman" w:cs="Times New Roman"/>
                <w:sz w:val="20"/>
                <w:szCs w:val="20"/>
                <w:lang w:val="en-US"/>
              </w:rPr>
            </w:pPr>
            <w:r w:rsidRPr="002333D6">
              <w:rPr>
                <w:rFonts w:ascii="Times New Roman" w:hAnsi="Times New Roman" w:cs="Times New Roman"/>
                <w:sz w:val="20"/>
                <w:szCs w:val="20"/>
                <w:lang w:val="en-US"/>
              </w:rPr>
              <w:t>23</w:t>
            </w:r>
          </w:p>
          <w:p w:rsidR="002E4DFF" w:rsidRPr="002333D6" w:rsidRDefault="002E4DFF" w:rsidP="00BD473E">
            <w:pPr>
              <w:spacing w:after="0" w:line="240" w:lineRule="auto"/>
              <w:ind w:left="150" w:hanging="150"/>
              <w:rPr>
                <w:rFonts w:ascii="Times New Roman" w:hAnsi="Times New Roman" w:cs="Times New Roman"/>
                <w:b/>
                <w:sz w:val="20"/>
                <w:szCs w:val="20"/>
              </w:rPr>
            </w:pPr>
            <w:r w:rsidRPr="002333D6">
              <w:rPr>
                <w:rFonts w:ascii="Times New Roman" w:hAnsi="Times New Roman" w:cs="Times New Roman"/>
                <w:sz w:val="20"/>
                <w:szCs w:val="20"/>
                <w:lang w:val="en-US"/>
              </w:rPr>
              <w:t>24</w:t>
            </w:r>
          </w:p>
        </w:tc>
        <w:tc>
          <w:tcPr>
            <w:tcW w:w="2070" w:type="dxa"/>
          </w:tcPr>
          <w:p w:rsidR="002E4DFF" w:rsidRPr="002333D6" w:rsidRDefault="002E4DFF" w:rsidP="002333D6">
            <w:pPr>
              <w:spacing w:after="0" w:line="240" w:lineRule="auto"/>
              <w:jc w:val="right"/>
              <w:rPr>
                <w:rFonts w:ascii="Times New Roman" w:hAnsi="Times New Roman" w:cs="Times New Roman"/>
                <w:sz w:val="20"/>
                <w:szCs w:val="20"/>
              </w:rPr>
            </w:pPr>
          </w:p>
          <w:p w:rsidR="002E4DFF" w:rsidRPr="002333D6" w:rsidRDefault="002E4DFF" w:rsidP="002333D6">
            <w:pPr>
              <w:spacing w:after="0" w:line="240" w:lineRule="auto"/>
              <w:jc w:val="right"/>
              <w:rPr>
                <w:rFonts w:ascii="Times New Roman" w:hAnsi="Times New Roman" w:cs="Times New Roman"/>
                <w:sz w:val="20"/>
                <w:szCs w:val="20"/>
              </w:rPr>
            </w:pPr>
            <w:r w:rsidRPr="002333D6">
              <w:rPr>
                <w:rFonts w:ascii="Times New Roman" w:hAnsi="Times New Roman" w:cs="Times New Roman"/>
                <w:sz w:val="20"/>
                <w:szCs w:val="20"/>
              </w:rPr>
              <w:t>72</w:t>
            </w:r>
          </w:p>
          <w:p w:rsidR="002E4DFF" w:rsidRPr="002333D6" w:rsidRDefault="002E4DFF" w:rsidP="002333D6">
            <w:pPr>
              <w:spacing w:after="0" w:line="240" w:lineRule="auto"/>
              <w:jc w:val="right"/>
              <w:rPr>
                <w:rFonts w:ascii="Times New Roman" w:hAnsi="Times New Roman" w:cs="Times New Roman"/>
                <w:sz w:val="20"/>
                <w:szCs w:val="20"/>
              </w:rPr>
            </w:pPr>
            <w:r w:rsidRPr="002333D6">
              <w:rPr>
                <w:rFonts w:ascii="Times New Roman" w:hAnsi="Times New Roman" w:cs="Times New Roman"/>
                <w:sz w:val="20"/>
                <w:szCs w:val="20"/>
              </w:rPr>
              <w:t>167</w:t>
            </w:r>
          </w:p>
          <w:p w:rsidR="002E4DFF" w:rsidRPr="002333D6" w:rsidRDefault="002E4DFF" w:rsidP="002333D6">
            <w:pPr>
              <w:spacing w:after="0" w:line="240" w:lineRule="auto"/>
              <w:jc w:val="right"/>
              <w:rPr>
                <w:rFonts w:ascii="Times New Roman" w:hAnsi="Times New Roman" w:cs="Times New Roman"/>
                <w:sz w:val="20"/>
                <w:szCs w:val="20"/>
              </w:rPr>
            </w:pPr>
            <w:r w:rsidRPr="002333D6">
              <w:rPr>
                <w:rFonts w:ascii="Times New Roman" w:hAnsi="Times New Roman" w:cs="Times New Roman"/>
                <w:sz w:val="20"/>
                <w:szCs w:val="20"/>
              </w:rPr>
              <w:t>34</w:t>
            </w:r>
          </w:p>
          <w:p w:rsidR="002E4DFF" w:rsidRPr="002333D6" w:rsidRDefault="002E4DFF" w:rsidP="002333D6">
            <w:pPr>
              <w:spacing w:after="0" w:line="240" w:lineRule="auto"/>
              <w:jc w:val="right"/>
              <w:rPr>
                <w:rFonts w:ascii="Times New Roman" w:hAnsi="Times New Roman" w:cs="Times New Roman"/>
                <w:sz w:val="20"/>
                <w:szCs w:val="20"/>
              </w:rPr>
            </w:pPr>
            <w:r w:rsidRPr="002333D6">
              <w:rPr>
                <w:rFonts w:ascii="Times New Roman" w:hAnsi="Times New Roman" w:cs="Times New Roman"/>
                <w:sz w:val="20"/>
                <w:szCs w:val="20"/>
              </w:rPr>
              <w:t>5</w:t>
            </w:r>
          </w:p>
          <w:p w:rsidR="002E4DFF" w:rsidRPr="002333D6" w:rsidRDefault="002E4DFF" w:rsidP="002333D6">
            <w:pPr>
              <w:spacing w:after="0" w:line="240" w:lineRule="auto"/>
              <w:jc w:val="right"/>
              <w:rPr>
                <w:rFonts w:ascii="Times New Roman" w:hAnsi="Times New Roman" w:cs="Times New Roman"/>
                <w:sz w:val="20"/>
                <w:szCs w:val="20"/>
              </w:rPr>
            </w:pPr>
            <w:r w:rsidRPr="002333D6">
              <w:rPr>
                <w:rFonts w:ascii="Times New Roman" w:hAnsi="Times New Roman" w:cs="Times New Roman"/>
                <w:sz w:val="20"/>
                <w:szCs w:val="20"/>
              </w:rPr>
              <w:t>2</w:t>
            </w:r>
          </w:p>
        </w:tc>
        <w:tc>
          <w:tcPr>
            <w:tcW w:w="1812" w:type="dxa"/>
          </w:tcPr>
          <w:p w:rsidR="002E4DFF" w:rsidRPr="002333D6" w:rsidRDefault="002E4DFF" w:rsidP="002333D6">
            <w:pPr>
              <w:spacing w:after="0" w:line="240" w:lineRule="auto"/>
              <w:jc w:val="right"/>
              <w:rPr>
                <w:rFonts w:ascii="Times New Roman" w:hAnsi="Times New Roman" w:cs="Times New Roman"/>
                <w:sz w:val="20"/>
                <w:szCs w:val="20"/>
              </w:rPr>
            </w:pPr>
          </w:p>
          <w:p w:rsidR="002E4DFF" w:rsidRPr="002333D6" w:rsidRDefault="003A009B" w:rsidP="002333D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25.</w:t>
            </w:r>
            <w:r w:rsidR="002E4DFF" w:rsidRPr="002333D6">
              <w:rPr>
                <w:rFonts w:ascii="Times New Roman" w:hAnsi="Times New Roman" w:cs="Times New Roman"/>
                <w:sz w:val="20"/>
                <w:szCs w:val="20"/>
              </w:rPr>
              <w:t>7</w:t>
            </w:r>
          </w:p>
          <w:p w:rsidR="002E4DFF" w:rsidRPr="002333D6" w:rsidRDefault="003A009B" w:rsidP="002333D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59.</w:t>
            </w:r>
            <w:r w:rsidR="002E4DFF" w:rsidRPr="002333D6">
              <w:rPr>
                <w:rFonts w:ascii="Times New Roman" w:hAnsi="Times New Roman" w:cs="Times New Roman"/>
                <w:sz w:val="20"/>
                <w:szCs w:val="20"/>
              </w:rPr>
              <w:t>6</w:t>
            </w:r>
          </w:p>
          <w:p w:rsidR="002E4DFF" w:rsidRPr="002333D6" w:rsidRDefault="003A009B" w:rsidP="002333D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12.</w:t>
            </w:r>
            <w:r w:rsidR="002E4DFF" w:rsidRPr="002333D6">
              <w:rPr>
                <w:rFonts w:ascii="Times New Roman" w:hAnsi="Times New Roman" w:cs="Times New Roman"/>
                <w:sz w:val="20"/>
                <w:szCs w:val="20"/>
              </w:rPr>
              <w:t>1</w:t>
            </w:r>
          </w:p>
          <w:p w:rsidR="002E4DFF" w:rsidRPr="002333D6" w:rsidRDefault="002E4DFF" w:rsidP="002333D6">
            <w:pPr>
              <w:spacing w:after="0" w:line="240" w:lineRule="auto"/>
              <w:jc w:val="right"/>
              <w:rPr>
                <w:rFonts w:ascii="Times New Roman" w:hAnsi="Times New Roman" w:cs="Times New Roman"/>
                <w:sz w:val="20"/>
                <w:szCs w:val="20"/>
              </w:rPr>
            </w:pPr>
            <w:r w:rsidRPr="002333D6">
              <w:rPr>
                <w:rFonts w:ascii="Times New Roman" w:hAnsi="Times New Roman" w:cs="Times New Roman"/>
                <w:sz w:val="20"/>
                <w:szCs w:val="20"/>
              </w:rPr>
              <w:t>1</w:t>
            </w:r>
            <w:r w:rsidR="003A009B">
              <w:rPr>
                <w:rFonts w:ascii="Times New Roman" w:hAnsi="Times New Roman" w:cs="Times New Roman"/>
                <w:sz w:val="20"/>
                <w:szCs w:val="20"/>
                <w:lang w:val="en-US"/>
              </w:rPr>
              <w:t>.</w:t>
            </w:r>
            <w:r w:rsidRPr="002333D6">
              <w:rPr>
                <w:rFonts w:ascii="Times New Roman" w:hAnsi="Times New Roman" w:cs="Times New Roman"/>
                <w:sz w:val="20"/>
                <w:szCs w:val="20"/>
              </w:rPr>
              <w:t>8</w:t>
            </w:r>
          </w:p>
          <w:p w:rsidR="002E4DFF" w:rsidRPr="002333D6" w:rsidRDefault="003A009B" w:rsidP="002333D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r w:rsidR="002E4DFF" w:rsidRPr="002333D6">
              <w:rPr>
                <w:rFonts w:ascii="Times New Roman" w:hAnsi="Times New Roman" w:cs="Times New Roman"/>
                <w:sz w:val="20"/>
                <w:szCs w:val="20"/>
              </w:rPr>
              <w:t>7</w:t>
            </w:r>
          </w:p>
        </w:tc>
      </w:tr>
      <w:tr w:rsidR="002E4DFF" w:rsidRPr="002333D6" w:rsidTr="002333D6">
        <w:tc>
          <w:tcPr>
            <w:tcW w:w="3678" w:type="dxa"/>
          </w:tcPr>
          <w:p w:rsidR="002E4DFF" w:rsidRPr="002333D6" w:rsidRDefault="002E4DFF" w:rsidP="00BD473E">
            <w:pPr>
              <w:spacing w:after="0" w:line="240" w:lineRule="auto"/>
              <w:rPr>
                <w:rFonts w:ascii="Times New Roman" w:hAnsi="Times New Roman" w:cs="Times New Roman"/>
                <w:b/>
                <w:sz w:val="20"/>
                <w:szCs w:val="20"/>
                <w:lang w:val="en-US"/>
              </w:rPr>
            </w:pPr>
            <w:r w:rsidRPr="002333D6">
              <w:rPr>
                <w:rFonts w:ascii="Times New Roman" w:hAnsi="Times New Roman" w:cs="Times New Roman"/>
                <w:b/>
                <w:sz w:val="20"/>
                <w:szCs w:val="20"/>
                <w:lang w:val="en-US"/>
              </w:rPr>
              <w:t>Tingkat Penghasilan Orang Tua</w:t>
            </w:r>
            <w:r w:rsidR="007B179D" w:rsidRPr="002333D6">
              <w:rPr>
                <w:rFonts w:ascii="Times New Roman" w:hAnsi="Times New Roman" w:cs="Times New Roman"/>
                <w:sz w:val="20"/>
                <w:szCs w:val="20"/>
                <w:vertAlign w:val="superscript"/>
                <w:lang w:val="en-US"/>
              </w:rPr>
              <w:t>a</w:t>
            </w:r>
          </w:p>
          <w:p w:rsidR="002E4DFF" w:rsidRPr="002333D6" w:rsidRDefault="002E4DFF" w:rsidP="00BD473E">
            <w:pPr>
              <w:spacing w:after="0" w:line="240" w:lineRule="auto"/>
              <w:rPr>
                <w:rFonts w:ascii="Times New Roman" w:hAnsi="Times New Roman" w:cs="Times New Roman"/>
                <w:sz w:val="20"/>
                <w:szCs w:val="20"/>
                <w:lang w:val="en-US"/>
              </w:rPr>
            </w:pPr>
            <w:r w:rsidRPr="002333D6">
              <w:rPr>
                <w:rFonts w:ascii="Times New Roman" w:hAnsi="Times New Roman" w:cs="Times New Roman"/>
                <w:sz w:val="20"/>
                <w:szCs w:val="20"/>
                <w:lang w:val="en-US"/>
              </w:rPr>
              <w:t>Rendah</w:t>
            </w:r>
          </w:p>
          <w:p w:rsidR="002E4DFF" w:rsidRPr="002333D6" w:rsidRDefault="002E4DFF" w:rsidP="00BD473E">
            <w:pPr>
              <w:spacing w:after="0" w:line="240" w:lineRule="auto"/>
              <w:rPr>
                <w:rFonts w:ascii="Times New Roman" w:hAnsi="Times New Roman" w:cs="Times New Roman"/>
                <w:sz w:val="20"/>
                <w:szCs w:val="20"/>
                <w:lang w:val="en-US"/>
              </w:rPr>
            </w:pPr>
            <w:r w:rsidRPr="002333D6">
              <w:rPr>
                <w:rFonts w:ascii="Times New Roman" w:hAnsi="Times New Roman" w:cs="Times New Roman"/>
                <w:sz w:val="20"/>
                <w:szCs w:val="20"/>
                <w:lang w:val="en-US"/>
              </w:rPr>
              <w:t>Tinggi</w:t>
            </w:r>
          </w:p>
        </w:tc>
        <w:tc>
          <w:tcPr>
            <w:tcW w:w="2070" w:type="dxa"/>
          </w:tcPr>
          <w:p w:rsidR="002E4DFF" w:rsidRPr="002333D6" w:rsidRDefault="002E4DFF" w:rsidP="002333D6">
            <w:pPr>
              <w:spacing w:after="0" w:line="240" w:lineRule="auto"/>
              <w:jc w:val="right"/>
              <w:rPr>
                <w:rFonts w:ascii="Times New Roman" w:hAnsi="Times New Roman" w:cs="Times New Roman"/>
                <w:sz w:val="20"/>
                <w:szCs w:val="20"/>
              </w:rPr>
            </w:pPr>
          </w:p>
          <w:p w:rsidR="002E4DFF" w:rsidRPr="002333D6" w:rsidRDefault="002E4DFF" w:rsidP="002333D6">
            <w:pPr>
              <w:spacing w:after="0" w:line="240" w:lineRule="auto"/>
              <w:jc w:val="right"/>
              <w:rPr>
                <w:rFonts w:ascii="Times New Roman" w:hAnsi="Times New Roman" w:cs="Times New Roman"/>
                <w:sz w:val="20"/>
                <w:szCs w:val="20"/>
                <w:lang w:val="en-US"/>
              </w:rPr>
            </w:pPr>
            <w:r w:rsidRPr="002333D6">
              <w:rPr>
                <w:rFonts w:ascii="Times New Roman" w:hAnsi="Times New Roman" w:cs="Times New Roman"/>
                <w:sz w:val="20"/>
                <w:szCs w:val="20"/>
                <w:lang w:val="en-US"/>
              </w:rPr>
              <w:t>103</w:t>
            </w:r>
          </w:p>
          <w:p w:rsidR="002E4DFF" w:rsidRPr="002333D6" w:rsidRDefault="002E4DFF" w:rsidP="002333D6">
            <w:pPr>
              <w:spacing w:after="0" w:line="240" w:lineRule="auto"/>
              <w:jc w:val="right"/>
              <w:rPr>
                <w:rFonts w:ascii="Times New Roman" w:hAnsi="Times New Roman" w:cs="Times New Roman"/>
                <w:sz w:val="20"/>
                <w:szCs w:val="20"/>
                <w:lang w:val="en-US"/>
              </w:rPr>
            </w:pPr>
            <w:r w:rsidRPr="002333D6">
              <w:rPr>
                <w:rFonts w:ascii="Times New Roman" w:hAnsi="Times New Roman" w:cs="Times New Roman"/>
                <w:sz w:val="20"/>
                <w:szCs w:val="20"/>
                <w:lang w:val="en-US"/>
              </w:rPr>
              <w:t>177</w:t>
            </w:r>
          </w:p>
        </w:tc>
        <w:tc>
          <w:tcPr>
            <w:tcW w:w="1812" w:type="dxa"/>
          </w:tcPr>
          <w:p w:rsidR="002E4DFF" w:rsidRPr="002333D6" w:rsidRDefault="002E4DFF" w:rsidP="002333D6">
            <w:pPr>
              <w:spacing w:after="0" w:line="240" w:lineRule="auto"/>
              <w:jc w:val="right"/>
              <w:rPr>
                <w:rFonts w:ascii="Times New Roman" w:hAnsi="Times New Roman" w:cs="Times New Roman"/>
                <w:sz w:val="20"/>
                <w:szCs w:val="20"/>
              </w:rPr>
            </w:pPr>
          </w:p>
          <w:p w:rsidR="002E4DFF" w:rsidRPr="002333D6" w:rsidRDefault="002E4DFF" w:rsidP="002333D6">
            <w:pPr>
              <w:spacing w:after="0" w:line="240" w:lineRule="auto"/>
              <w:jc w:val="right"/>
              <w:rPr>
                <w:rFonts w:ascii="Times New Roman" w:hAnsi="Times New Roman" w:cs="Times New Roman"/>
                <w:sz w:val="20"/>
                <w:szCs w:val="20"/>
                <w:lang w:val="en-US"/>
              </w:rPr>
            </w:pPr>
            <w:r w:rsidRPr="002333D6">
              <w:rPr>
                <w:rFonts w:ascii="Times New Roman" w:hAnsi="Times New Roman" w:cs="Times New Roman"/>
                <w:sz w:val="20"/>
                <w:szCs w:val="20"/>
                <w:lang w:val="en-US"/>
              </w:rPr>
              <w:t>36.7</w:t>
            </w:r>
          </w:p>
          <w:p w:rsidR="002E4DFF" w:rsidRPr="002333D6" w:rsidRDefault="002E4DFF" w:rsidP="002333D6">
            <w:pPr>
              <w:spacing w:after="0" w:line="240" w:lineRule="auto"/>
              <w:jc w:val="right"/>
              <w:rPr>
                <w:rFonts w:ascii="Times New Roman" w:hAnsi="Times New Roman" w:cs="Times New Roman"/>
                <w:sz w:val="20"/>
                <w:szCs w:val="20"/>
                <w:lang w:val="en-US"/>
              </w:rPr>
            </w:pPr>
            <w:r w:rsidRPr="002333D6">
              <w:rPr>
                <w:rFonts w:ascii="Times New Roman" w:hAnsi="Times New Roman" w:cs="Times New Roman"/>
                <w:sz w:val="20"/>
                <w:szCs w:val="20"/>
                <w:lang w:val="en-US"/>
              </w:rPr>
              <w:t>63.2</w:t>
            </w:r>
          </w:p>
        </w:tc>
      </w:tr>
      <w:tr w:rsidR="00A85D05" w:rsidRPr="002333D6" w:rsidTr="002333D6">
        <w:tc>
          <w:tcPr>
            <w:tcW w:w="3678" w:type="dxa"/>
          </w:tcPr>
          <w:p w:rsidR="00A85D05" w:rsidRPr="002333D6" w:rsidRDefault="00A85D05" w:rsidP="00BD473E">
            <w:pPr>
              <w:spacing w:after="0" w:line="240" w:lineRule="auto"/>
              <w:rPr>
                <w:rFonts w:ascii="Times New Roman" w:hAnsi="Times New Roman"/>
                <w:b/>
                <w:sz w:val="20"/>
                <w:szCs w:val="20"/>
                <w:lang w:val="en-US"/>
              </w:rPr>
            </w:pPr>
            <w:r w:rsidRPr="002333D6">
              <w:rPr>
                <w:rFonts w:ascii="Times New Roman" w:hAnsi="Times New Roman"/>
                <w:b/>
                <w:sz w:val="20"/>
                <w:szCs w:val="20"/>
                <w:lang w:val="en-US"/>
              </w:rPr>
              <w:t>Hambatan Kognitif</w:t>
            </w:r>
            <w:r w:rsidR="0045164E" w:rsidRPr="002333D6">
              <w:rPr>
                <w:rFonts w:ascii="Times New Roman" w:hAnsi="Times New Roman"/>
                <w:sz w:val="20"/>
                <w:szCs w:val="20"/>
                <w:vertAlign w:val="superscript"/>
                <w:lang w:val="en-US"/>
              </w:rPr>
              <w:t>b</w:t>
            </w:r>
          </w:p>
          <w:p w:rsidR="00A85D05" w:rsidRPr="002333D6" w:rsidRDefault="00A85D05" w:rsidP="00BD473E">
            <w:pPr>
              <w:spacing w:after="0" w:line="240" w:lineRule="auto"/>
              <w:rPr>
                <w:rFonts w:ascii="Times New Roman" w:hAnsi="Times New Roman"/>
                <w:sz w:val="20"/>
                <w:szCs w:val="20"/>
                <w:lang w:val="en-US"/>
              </w:rPr>
            </w:pPr>
            <w:r w:rsidRPr="002333D6">
              <w:rPr>
                <w:rFonts w:ascii="Times New Roman" w:hAnsi="Times New Roman"/>
                <w:sz w:val="20"/>
                <w:szCs w:val="20"/>
                <w:lang w:val="en-US"/>
              </w:rPr>
              <w:t>Tidak Mengalami</w:t>
            </w:r>
          </w:p>
          <w:p w:rsidR="00A85D05" w:rsidRPr="002333D6" w:rsidRDefault="00A85D05" w:rsidP="00BD473E">
            <w:pPr>
              <w:spacing w:after="0" w:line="240" w:lineRule="auto"/>
              <w:rPr>
                <w:rFonts w:ascii="Times New Roman" w:hAnsi="Times New Roman"/>
                <w:b/>
                <w:sz w:val="20"/>
                <w:szCs w:val="20"/>
                <w:lang w:val="en-US"/>
              </w:rPr>
            </w:pPr>
            <w:r w:rsidRPr="002333D6">
              <w:rPr>
                <w:rFonts w:ascii="Times New Roman" w:hAnsi="Times New Roman"/>
                <w:sz w:val="20"/>
                <w:szCs w:val="20"/>
                <w:lang w:val="en-US"/>
              </w:rPr>
              <w:t>Mengalami</w:t>
            </w:r>
          </w:p>
        </w:tc>
        <w:tc>
          <w:tcPr>
            <w:tcW w:w="2070" w:type="dxa"/>
          </w:tcPr>
          <w:p w:rsidR="00A85D05" w:rsidRPr="002333D6" w:rsidRDefault="00A85D05" w:rsidP="002333D6">
            <w:pPr>
              <w:spacing w:after="0" w:line="240" w:lineRule="auto"/>
              <w:jc w:val="right"/>
              <w:rPr>
                <w:rFonts w:ascii="Times New Roman" w:hAnsi="Times New Roman"/>
                <w:sz w:val="20"/>
                <w:szCs w:val="20"/>
              </w:rPr>
            </w:pPr>
          </w:p>
          <w:p w:rsidR="00A85D05" w:rsidRPr="002333D6" w:rsidRDefault="00A85D05" w:rsidP="002333D6">
            <w:pPr>
              <w:spacing w:after="0" w:line="240" w:lineRule="auto"/>
              <w:jc w:val="right"/>
              <w:rPr>
                <w:rFonts w:ascii="Times New Roman" w:hAnsi="Times New Roman"/>
                <w:sz w:val="20"/>
                <w:szCs w:val="20"/>
                <w:lang w:val="en-US"/>
              </w:rPr>
            </w:pPr>
            <w:r w:rsidRPr="002333D6">
              <w:rPr>
                <w:rFonts w:ascii="Times New Roman" w:hAnsi="Times New Roman"/>
                <w:sz w:val="20"/>
                <w:szCs w:val="20"/>
                <w:lang w:val="en-US"/>
              </w:rPr>
              <w:t>111</w:t>
            </w:r>
          </w:p>
          <w:p w:rsidR="00A85D05" w:rsidRPr="002333D6" w:rsidRDefault="00A85D05" w:rsidP="002333D6">
            <w:pPr>
              <w:spacing w:after="0" w:line="240" w:lineRule="auto"/>
              <w:jc w:val="right"/>
              <w:rPr>
                <w:rFonts w:ascii="Times New Roman" w:hAnsi="Times New Roman"/>
                <w:sz w:val="20"/>
                <w:szCs w:val="20"/>
                <w:lang w:val="en-US"/>
              </w:rPr>
            </w:pPr>
            <w:r w:rsidRPr="002333D6">
              <w:rPr>
                <w:rFonts w:ascii="Times New Roman" w:hAnsi="Times New Roman"/>
                <w:sz w:val="20"/>
                <w:szCs w:val="20"/>
                <w:lang w:val="en-US"/>
              </w:rPr>
              <w:t>169</w:t>
            </w:r>
          </w:p>
        </w:tc>
        <w:tc>
          <w:tcPr>
            <w:tcW w:w="1812" w:type="dxa"/>
          </w:tcPr>
          <w:p w:rsidR="00A85D05" w:rsidRPr="002333D6" w:rsidRDefault="00A85D05" w:rsidP="002333D6">
            <w:pPr>
              <w:spacing w:after="0" w:line="240" w:lineRule="auto"/>
              <w:jc w:val="right"/>
              <w:rPr>
                <w:rFonts w:ascii="Times New Roman" w:hAnsi="Times New Roman"/>
                <w:sz w:val="20"/>
                <w:szCs w:val="20"/>
              </w:rPr>
            </w:pPr>
          </w:p>
          <w:p w:rsidR="00A85D05" w:rsidRPr="002333D6" w:rsidRDefault="00A85D05" w:rsidP="002333D6">
            <w:pPr>
              <w:spacing w:after="0" w:line="240" w:lineRule="auto"/>
              <w:jc w:val="right"/>
              <w:rPr>
                <w:rFonts w:ascii="Times New Roman" w:hAnsi="Times New Roman"/>
                <w:sz w:val="20"/>
                <w:szCs w:val="20"/>
                <w:lang w:val="en-US"/>
              </w:rPr>
            </w:pPr>
            <w:r w:rsidRPr="002333D6">
              <w:rPr>
                <w:rFonts w:ascii="Times New Roman" w:hAnsi="Times New Roman"/>
                <w:sz w:val="20"/>
                <w:szCs w:val="20"/>
                <w:lang w:val="en-US"/>
              </w:rPr>
              <w:t>60.4</w:t>
            </w:r>
          </w:p>
          <w:p w:rsidR="00A85D05" w:rsidRPr="002333D6" w:rsidRDefault="00A85D05" w:rsidP="002333D6">
            <w:pPr>
              <w:spacing w:after="0" w:line="240" w:lineRule="auto"/>
              <w:jc w:val="right"/>
              <w:rPr>
                <w:rFonts w:ascii="Times New Roman" w:hAnsi="Times New Roman"/>
                <w:sz w:val="20"/>
                <w:szCs w:val="20"/>
                <w:lang w:val="en-US"/>
              </w:rPr>
            </w:pPr>
            <w:r w:rsidRPr="002333D6">
              <w:rPr>
                <w:rFonts w:ascii="Times New Roman" w:hAnsi="Times New Roman"/>
                <w:sz w:val="20"/>
                <w:szCs w:val="20"/>
                <w:lang w:val="en-US"/>
              </w:rPr>
              <w:t>39.6</w:t>
            </w:r>
          </w:p>
        </w:tc>
      </w:tr>
      <w:tr w:rsidR="00A85D05" w:rsidRPr="002333D6" w:rsidTr="002333D6">
        <w:tc>
          <w:tcPr>
            <w:tcW w:w="3678" w:type="dxa"/>
            <w:tcBorders>
              <w:bottom w:val="single" w:sz="4" w:space="0" w:color="auto"/>
            </w:tcBorders>
          </w:tcPr>
          <w:p w:rsidR="00A85D05" w:rsidRPr="002333D6" w:rsidRDefault="00A85D05" w:rsidP="00BD473E">
            <w:pPr>
              <w:spacing w:after="0" w:line="240" w:lineRule="auto"/>
              <w:rPr>
                <w:rFonts w:ascii="Times New Roman" w:hAnsi="Times New Roman"/>
                <w:b/>
                <w:sz w:val="20"/>
                <w:szCs w:val="20"/>
                <w:lang w:val="en-US"/>
              </w:rPr>
            </w:pPr>
            <w:r w:rsidRPr="002333D6">
              <w:rPr>
                <w:rFonts w:ascii="Times New Roman" w:hAnsi="Times New Roman"/>
                <w:b/>
                <w:sz w:val="20"/>
                <w:szCs w:val="20"/>
                <w:lang w:val="en-US"/>
              </w:rPr>
              <w:t>Hambatan Psikososial</w:t>
            </w:r>
            <w:r w:rsidR="0045164E" w:rsidRPr="002333D6">
              <w:rPr>
                <w:rFonts w:ascii="Times New Roman" w:hAnsi="Times New Roman"/>
                <w:sz w:val="20"/>
                <w:szCs w:val="20"/>
                <w:vertAlign w:val="superscript"/>
                <w:lang w:val="en-US"/>
              </w:rPr>
              <w:t>c</w:t>
            </w:r>
          </w:p>
          <w:p w:rsidR="00A85D05" w:rsidRPr="002333D6" w:rsidRDefault="00A85D05" w:rsidP="00A85D05">
            <w:pPr>
              <w:spacing w:after="0" w:line="240" w:lineRule="auto"/>
              <w:rPr>
                <w:rFonts w:ascii="Times New Roman" w:hAnsi="Times New Roman"/>
                <w:sz w:val="20"/>
                <w:szCs w:val="20"/>
                <w:lang w:val="en-US"/>
              </w:rPr>
            </w:pPr>
            <w:r w:rsidRPr="002333D6">
              <w:rPr>
                <w:rFonts w:ascii="Times New Roman" w:hAnsi="Times New Roman"/>
                <w:sz w:val="20"/>
                <w:szCs w:val="20"/>
                <w:lang w:val="en-US"/>
              </w:rPr>
              <w:t>Tidak Mengalami</w:t>
            </w:r>
          </w:p>
          <w:p w:rsidR="00A85D05" w:rsidRPr="002333D6" w:rsidRDefault="00A85D05" w:rsidP="00A85D05">
            <w:pPr>
              <w:spacing w:after="0" w:line="240" w:lineRule="auto"/>
              <w:rPr>
                <w:rFonts w:ascii="Times New Roman" w:hAnsi="Times New Roman"/>
                <w:b/>
                <w:sz w:val="20"/>
                <w:szCs w:val="20"/>
                <w:lang w:val="en-US"/>
              </w:rPr>
            </w:pPr>
            <w:r w:rsidRPr="002333D6">
              <w:rPr>
                <w:rFonts w:ascii="Times New Roman" w:hAnsi="Times New Roman"/>
                <w:sz w:val="20"/>
                <w:szCs w:val="20"/>
                <w:lang w:val="en-US"/>
              </w:rPr>
              <w:t>Mengalami</w:t>
            </w:r>
          </w:p>
        </w:tc>
        <w:tc>
          <w:tcPr>
            <w:tcW w:w="2070" w:type="dxa"/>
            <w:tcBorders>
              <w:bottom w:val="single" w:sz="4" w:space="0" w:color="auto"/>
            </w:tcBorders>
          </w:tcPr>
          <w:p w:rsidR="00A85D05" w:rsidRPr="002333D6" w:rsidRDefault="00A85D05" w:rsidP="002333D6">
            <w:pPr>
              <w:spacing w:after="0" w:line="240" w:lineRule="auto"/>
              <w:jc w:val="right"/>
              <w:rPr>
                <w:rFonts w:ascii="Times New Roman" w:hAnsi="Times New Roman"/>
                <w:sz w:val="20"/>
                <w:szCs w:val="20"/>
              </w:rPr>
            </w:pPr>
          </w:p>
          <w:p w:rsidR="007B179D" w:rsidRPr="002333D6" w:rsidRDefault="007B179D" w:rsidP="002333D6">
            <w:pPr>
              <w:spacing w:after="0" w:line="240" w:lineRule="auto"/>
              <w:jc w:val="right"/>
              <w:rPr>
                <w:rFonts w:ascii="Times New Roman" w:hAnsi="Times New Roman"/>
                <w:sz w:val="20"/>
                <w:szCs w:val="20"/>
                <w:lang w:val="en-US"/>
              </w:rPr>
            </w:pPr>
            <w:r w:rsidRPr="002333D6">
              <w:rPr>
                <w:rFonts w:ascii="Times New Roman" w:hAnsi="Times New Roman"/>
                <w:sz w:val="20"/>
                <w:szCs w:val="20"/>
                <w:lang w:val="en-US"/>
              </w:rPr>
              <w:t>193</w:t>
            </w:r>
          </w:p>
          <w:p w:rsidR="007B179D" w:rsidRPr="002333D6" w:rsidRDefault="007B179D" w:rsidP="002333D6">
            <w:pPr>
              <w:spacing w:after="0" w:line="240" w:lineRule="auto"/>
              <w:jc w:val="right"/>
              <w:rPr>
                <w:rFonts w:ascii="Times New Roman" w:hAnsi="Times New Roman"/>
                <w:sz w:val="20"/>
                <w:szCs w:val="20"/>
                <w:lang w:val="en-US"/>
              </w:rPr>
            </w:pPr>
            <w:r w:rsidRPr="002333D6">
              <w:rPr>
                <w:rFonts w:ascii="Times New Roman" w:hAnsi="Times New Roman"/>
                <w:sz w:val="20"/>
                <w:szCs w:val="20"/>
                <w:lang w:val="en-US"/>
              </w:rPr>
              <w:t>87</w:t>
            </w:r>
          </w:p>
        </w:tc>
        <w:tc>
          <w:tcPr>
            <w:tcW w:w="1812" w:type="dxa"/>
            <w:tcBorders>
              <w:bottom w:val="single" w:sz="4" w:space="0" w:color="auto"/>
            </w:tcBorders>
          </w:tcPr>
          <w:p w:rsidR="00A85D05" w:rsidRPr="002333D6" w:rsidRDefault="00A85D05" w:rsidP="002333D6">
            <w:pPr>
              <w:spacing w:after="0" w:line="240" w:lineRule="auto"/>
              <w:jc w:val="right"/>
              <w:rPr>
                <w:rFonts w:ascii="Times New Roman" w:hAnsi="Times New Roman"/>
                <w:sz w:val="20"/>
                <w:szCs w:val="20"/>
              </w:rPr>
            </w:pPr>
          </w:p>
          <w:p w:rsidR="007B179D" w:rsidRPr="002333D6" w:rsidRDefault="007B179D" w:rsidP="002333D6">
            <w:pPr>
              <w:spacing w:after="0" w:line="240" w:lineRule="auto"/>
              <w:jc w:val="right"/>
              <w:rPr>
                <w:rFonts w:ascii="Times New Roman" w:hAnsi="Times New Roman"/>
                <w:sz w:val="20"/>
                <w:szCs w:val="20"/>
                <w:lang w:val="en-US"/>
              </w:rPr>
            </w:pPr>
            <w:r w:rsidRPr="002333D6">
              <w:rPr>
                <w:rFonts w:ascii="Times New Roman" w:hAnsi="Times New Roman"/>
                <w:sz w:val="20"/>
                <w:szCs w:val="20"/>
                <w:lang w:val="en-US"/>
              </w:rPr>
              <w:t>68.9</w:t>
            </w:r>
          </w:p>
          <w:p w:rsidR="007B179D" w:rsidRPr="002333D6" w:rsidRDefault="007B179D" w:rsidP="002333D6">
            <w:pPr>
              <w:spacing w:after="0" w:line="240" w:lineRule="auto"/>
              <w:jc w:val="right"/>
              <w:rPr>
                <w:rFonts w:ascii="Times New Roman" w:hAnsi="Times New Roman"/>
                <w:sz w:val="20"/>
                <w:szCs w:val="20"/>
                <w:lang w:val="en-US"/>
              </w:rPr>
            </w:pPr>
            <w:r w:rsidRPr="002333D6">
              <w:rPr>
                <w:rFonts w:ascii="Times New Roman" w:hAnsi="Times New Roman"/>
                <w:sz w:val="20"/>
                <w:szCs w:val="20"/>
                <w:lang w:val="en-US"/>
              </w:rPr>
              <w:t>31.1</w:t>
            </w:r>
          </w:p>
        </w:tc>
      </w:tr>
    </w:tbl>
    <w:p w:rsidR="007B179D" w:rsidRPr="0045164E" w:rsidRDefault="00751933" w:rsidP="007B179D">
      <w:pPr>
        <w:tabs>
          <w:tab w:val="left" w:pos="90"/>
        </w:tabs>
        <w:spacing w:after="0" w:line="240" w:lineRule="auto"/>
        <w:ind w:left="720"/>
        <w:jc w:val="both"/>
        <w:rPr>
          <w:rFonts w:ascii="Times New Roman" w:hAnsi="Times New Roman"/>
          <w:sz w:val="20"/>
          <w:szCs w:val="20"/>
          <w:lang w:val="en-US"/>
        </w:rPr>
      </w:pPr>
      <w:r w:rsidRPr="0045164E">
        <w:rPr>
          <w:rFonts w:ascii="Times New Roman" w:hAnsi="Times New Roman"/>
          <w:sz w:val="20"/>
          <w:szCs w:val="20"/>
        </w:rPr>
        <w:t>Sumbe</w:t>
      </w:r>
      <w:r w:rsidR="002E4DFF" w:rsidRPr="0045164E">
        <w:rPr>
          <w:rFonts w:ascii="Times New Roman" w:hAnsi="Times New Roman"/>
          <w:sz w:val="20"/>
          <w:szCs w:val="20"/>
        </w:rPr>
        <w:t xml:space="preserve">r : </w:t>
      </w:r>
      <w:r w:rsidR="007B179D" w:rsidRPr="0045164E">
        <w:rPr>
          <w:rFonts w:ascii="Times New Roman" w:hAnsi="Times New Roman"/>
          <w:sz w:val="20"/>
          <w:szCs w:val="20"/>
          <w:lang w:val="en-US"/>
        </w:rPr>
        <w:t>Pengolahan data primer</w:t>
      </w:r>
    </w:p>
    <w:p w:rsidR="007B179D" w:rsidRPr="0045164E" w:rsidRDefault="007B179D" w:rsidP="007B179D">
      <w:pPr>
        <w:tabs>
          <w:tab w:val="left" w:pos="90"/>
        </w:tabs>
        <w:spacing w:after="0" w:line="240" w:lineRule="auto"/>
        <w:ind w:left="720"/>
        <w:jc w:val="both"/>
        <w:rPr>
          <w:rFonts w:ascii="Times New Roman" w:hAnsi="Times New Roman"/>
          <w:sz w:val="20"/>
          <w:szCs w:val="20"/>
          <w:lang w:val="en-US"/>
        </w:rPr>
      </w:pPr>
      <w:r w:rsidRPr="0045164E">
        <w:rPr>
          <w:rFonts w:ascii="Times New Roman" w:hAnsi="Times New Roman"/>
          <w:sz w:val="20"/>
          <w:szCs w:val="20"/>
          <w:lang w:val="en-US"/>
        </w:rPr>
        <w:t>Keterangan:</w:t>
      </w:r>
    </w:p>
    <w:p w:rsidR="007B179D" w:rsidRPr="0045164E" w:rsidRDefault="007B179D" w:rsidP="007B179D">
      <w:pPr>
        <w:tabs>
          <w:tab w:val="left" w:pos="90"/>
        </w:tabs>
        <w:spacing w:after="0" w:line="240" w:lineRule="auto"/>
        <w:ind w:left="720"/>
        <w:jc w:val="both"/>
        <w:rPr>
          <w:rFonts w:ascii="Times New Roman" w:hAnsi="Times New Roman"/>
          <w:sz w:val="20"/>
          <w:szCs w:val="20"/>
          <w:lang w:val="en-US"/>
        </w:rPr>
      </w:pPr>
      <w:r w:rsidRPr="0045164E">
        <w:rPr>
          <w:rFonts w:ascii="Times New Roman" w:hAnsi="Times New Roman"/>
          <w:sz w:val="20"/>
          <w:szCs w:val="20"/>
          <w:vertAlign w:val="superscript"/>
          <w:lang w:val="en-US"/>
        </w:rPr>
        <w:t xml:space="preserve">a </w:t>
      </w:r>
      <w:r w:rsidRPr="0045164E">
        <w:rPr>
          <w:rFonts w:ascii="Times New Roman" w:hAnsi="Times New Roman"/>
          <w:sz w:val="20"/>
          <w:szCs w:val="20"/>
          <w:lang w:val="en-US"/>
        </w:rPr>
        <w:t xml:space="preserve">Tingkat Penghasilan merupakan </w:t>
      </w:r>
      <w:r w:rsidRPr="003A009B">
        <w:rPr>
          <w:rFonts w:ascii="Times New Roman" w:hAnsi="Times New Roman"/>
          <w:i/>
          <w:sz w:val="20"/>
          <w:szCs w:val="20"/>
          <w:lang w:val="en-US"/>
        </w:rPr>
        <w:t>proxy</w:t>
      </w:r>
      <w:r w:rsidRPr="0045164E">
        <w:rPr>
          <w:rFonts w:ascii="Times New Roman" w:hAnsi="Times New Roman"/>
          <w:sz w:val="20"/>
          <w:szCs w:val="20"/>
          <w:lang w:val="en-US"/>
        </w:rPr>
        <w:t xml:space="preserve"> dari tingkat ekonomi keluarga: Rendah (1-3 juta), tinggi (&gt;3 juta); </w:t>
      </w:r>
      <w:r w:rsidR="0045164E" w:rsidRPr="0045164E">
        <w:rPr>
          <w:rFonts w:ascii="Times New Roman" w:hAnsi="Times New Roman"/>
          <w:sz w:val="20"/>
          <w:szCs w:val="20"/>
          <w:vertAlign w:val="superscript"/>
          <w:lang w:val="en-US"/>
        </w:rPr>
        <w:t>b</w:t>
      </w:r>
      <w:r w:rsidRPr="0045164E">
        <w:rPr>
          <w:rFonts w:ascii="Times New Roman" w:hAnsi="Times New Roman"/>
          <w:sz w:val="20"/>
          <w:szCs w:val="20"/>
          <w:lang w:val="en-US"/>
        </w:rPr>
        <w:t>Hambatan Kognitif merupakan</w:t>
      </w:r>
      <w:r w:rsidR="0045164E" w:rsidRPr="0045164E">
        <w:rPr>
          <w:rFonts w:ascii="Times New Roman" w:hAnsi="Times New Roman"/>
          <w:sz w:val="20"/>
          <w:szCs w:val="20"/>
          <w:lang w:val="en-US"/>
        </w:rPr>
        <w:t xml:space="preserve"> pengetahuan tentang fasilitas kesehatan yang menyediakan informasi terpercaya tentang kesehaatn reproduksi; </w:t>
      </w:r>
      <w:r w:rsidR="0045164E" w:rsidRPr="0045164E">
        <w:rPr>
          <w:rFonts w:ascii="Times New Roman" w:hAnsi="Times New Roman"/>
          <w:sz w:val="20"/>
          <w:szCs w:val="20"/>
          <w:vertAlign w:val="superscript"/>
          <w:lang w:val="en-US"/>
        </w:rPr>
        <w:t>c</w:t>
      </w:r>
      <w:r w:rsidR="0045164E" w:rsidRPr="0045164E">
        <w:rPr>
          <w:rFonts w:ascii="Times New Roman" w:hAnsi="Times New Roman"/>
          <w:sz w:val="20"/>
          <w:szCs w:val="20"/>
          <w:lang w:val="en-US"/>
        </w:rPr>
        <w:t xml:space="preserve"> Hambatan Psikososial merupakan perasaan takut yang dilaporkan responden saat mencariinformasi kesehatan reproduksi. </w:t>
      </w:r>
    </w:p>
    <w:p w:rsidR="0045164E" w:rsidRDefault="0045164E" w:rsidP="003E603A">
      <w:pPr>
        <w:pStyle w:val="ListParagraph"/>
        <w:spacing w:after="0" w:line="360" w:lineRule="auto"/>
        <w:ind w:firstLine="583"/>
        <w:jc w:val="both"/>
        <w:rPr>
          <w:rFonts w:ascii="Times New Roman" w:hAnsi="Times New Roman"/>
          <w:sz w:val="24"/>
          <w:szCs w:val="24"/>
        </w:rPr>
      </w:pPr>
    </w:p>
    <w:p w:rsidR="002333D6" w:rsidRPr="002333D6" w:rsidRDefault="002333D6" w:rsidP="002333D6">
      <w:pPr>
        <w:pStyle w:val="firstparagrah"/>
        <w:tabs>
          <w:tab w:val="clear" w:pos="142"/>
          <w:tab w:val="left" w:pos="426"/>
        </w:tabs>
        <w:spacing w:line="36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 xml:space="preserve">Analisis hubungan hambatan akses, Hambatan Psikososial dan Akses Informasi Kesehatan Reproduksi </w:t>
      </w:r>
    </w:p>
    <w:p w:rsidR="00751933" w:rsidRDefault="008E0D64" w:rsidP="002333D6">
      <w:pPr>
        <w:pStyle w:val="ListParagraph"/>
        <w:tabs>
          <w:tab w:val="left" w:pos="284"/>
          <w:tab w:val="left" w:pos="567"/>
        </w:tabs>
        <w:spacing w:after="0" w:line="360" w:lineRule="auto"/>
        <w:ind w:left="0" w:firstLine="567"/>
        <w:jc w:val="both"/>
        <w:rPr>
          <w:rFonts w:ascii="Times New Roman" w:hAnsi="Times New Roman"/>
          <w:sz w:val="24"/>
          <w:szCs w:val="24"/>
          <w:lang w:val="en-US"/>
        </w:rPr>
      </w:pPr>
      <w:r>
        <w:rPr>
          <w:rFonts w:ascii="Times New Roman" w:hAnsi="Times New Roman"/>
          <w:sz w:val="24"/>
          <w:szCs w:val="24"/>
          <w:lang w:val="en-US"/>
        </w:rPr>
        <w:t>Hasil t</w:t>
      </w:r>
      <w:r w:rsidR="002A00A1">
        <w:rPr>
          <w:rFonts w:ascii="Times New Roman" w:hAnsi="Times New Roman"/>
          <w:sz w:val="24"/>
          <w:szCs w:val="24"/>
        </w:rPr>
        <w:t xml:space="preserve">abulasi silang </w:t>
      </w:r>
      <w:r>
        <w:rPr>
          <w:rFonts w:ascii="Times New Roman" w:hAnsi="Times New Roman"/>
          <w:sz w:val="24"/>
          <w:szCs w:val="24"/>
          <w:lang w:val="en-US"/>
        </w:rPr>
        <w:t>(</w:t>
      </w:r>
      <w:r>
        <w:rPr>
          <w:rFonts w:ascii="Times New Roman" w:hAnsi="Times New Roman"/>
          <w:sz w:val="24"/>
          <w:szCs w:val="24"/>
        </w:rPr>
        <w:t>Tabel 2)</w:t>
      </w:r>
      <w:r>
        <w:rPr>
          <w:rFonts w:ascii="Times New Roman" w:hAnsi="Times New Roman"/>
          <w:sz w:val="24"/>
          <w:szCs w:val="24"/>
          <w:lang w:val="en-US"/>
        </w:rPr>
        <w:t xml:space="preserve"> menunjukkan kecenderungan responden yang mengakses informasi kesehatan reproduksi lebih tinggi pada kelompok yang tidak mengalami hambatan dibanding yang mengalami hambatan akses kognitif. Hal tersebut didukung dengan data OR yang menunjukkan adanya peningkatan resiko 80% pada yang tidak mengalami hambatan akses ko</w:t>
      </w:r>
      <w:r w:rsidR="00A53CC8">
        <w:rPr>
          <w:rFonts w:ascii="Times New Roman" w:hAnsi="Times New Roman"/>
          <w:sz w:val="24"/>
          <w:szCs w:val="24"/>
          <w:lang w:val="en-US"/>
        </w:rPr>
        <w:t>gnitif. Hasil uji statistik</w:t>
      </w:r>
      <w:r>
        <w:rPr>
          <w:rFonts w:ascii="Times New Roman" w:hAnsi="Times New Roman"/>
          <w:sz w:val="24"/>
          <w:szCs w:val="24"/>
          <w:lang w:val="en-US"/>
        </w:rPr>
        <w:t xml:space="preserve"> menyatakan hubungan bermak</w:t>
      </w:r>
      <w:r w:rsidR="00535B45">
        <w:rPr>
          <w:rFonts w:ascii="Times New Roman" w:hAnsi="Times New Roman"/>
          <w:sz w:val="24"/>
          <w:szCs w:val="24"/>
          <w:lang w:val="en-US"/>
        </w:rPr>
        <w:t xml:space="preserve">na antara hambatan kognitif dengan akses informasi kesehatan reproduksi. Variabel lain yang juga memiliki hubungan </w:t>
      </w:r>
      <w:r w:rsidR="00535B45">
        <w:rPr>
          <w:rFonts w:ascii="Times New Roman" w:hAnsi="Times New Roman"/>
          <w:sz w:val="24"/>
          <w:szCs w:val="24"/>
          <w:lang w:val="en-US"/>
        </w:rPr>
        <w:lastRenderedPageBreak/>
        <w:t>yang bermakna secara stati</w:t>
      </w:r>
      <w:r w:rsidR="00F96BD4">
        <w:rPr>
          <w:rFonts w:ascii="Times New Roman" w:hAnsi="Times New Roman"/>
          <w:sz w:val="24"/>
          <w:szCs w:val="24"/>
          <w:lang w:val="en-US"/>
        </w:rPr>
        <w:t>stik</w:t>
      </w:r>
      <w:r w:rsidR="00535B45">
        <w:rPr>
          <w:rFonts w:ascii="Times New Roman" w:hAnsi="Times New Roman"/>
          <w:sz w:val="24"/>
          <w:szCs w:val="24"/>
          <w:lang w:val="en-US"/>
        </w:rPr>
        <w:t xml:space="preserve"> dengan akses informasi kesehatan reprod</w:t>
      </w:r>
      <w:r w:rsidR="00217DD7">
        <w:rPr>
          <w:rFonts w:ascii="Times New Roman" w:hAnsi="Times New Roman"/>
          <w:sz w:val="24"/>
          <w:szCs w:val="24"/>
          <w:lang w:val="en-US"/>
        </w:rPr>
        <w:t>uksi yaitu hambatan psikososial dan</w:t>
      </w:r>
      <w:r w:rsidR="00535B45">
        <w:rPr>
          <w:rFonts w:ascii="Times New Roman" w:hAnsi="Times New Roman"/>
          <w:sz w:val="24"/>
          <w:szCs w:val="24"/>
          <w:lang w:val="en-US"/>
        </w:rPr>
        <w:t xml:space="preserve"> jenis kelamin. Sedangkan tingkat</w:t>
      </w:r>
      <w:r w:rsidR="00217DD7">
        <w:rPr>
          <w:rFonts w:ascii="Times New Roman" w:hAnsi="Times New Roman"/>
          <w:sz w:val="24"/>
          <w:szCs w:val="24"/>
          <w:lang w:val="en-US"/>
        </w:rPr>
        <w:t xml:space="preserve"> penghasilan orang tua sebagai </w:t>
      </w:r>
      <w:r w:rsidR="00217DD7" w:rsidRPr="00217DD7">
        <w:rPr>
          <w:rFonts w:ascii="Times New Roman" w:hAnsi="Times New Roman"/>
          <w:i/>
          <w:sz w:val="24"/>
          <w:szCs w:val="24"/>
          <w:lang w:val="en-US"/>
        </w:rPr>
        <w:t>p</w:t>
      </w:r>
      <w:r w:rsidR="00535B45" w:rsidRPr="00217DD7">
        <w:rPr>
          <w:rFonts w:ascii="Times New Roman" w:hAnsi="Times New Roman"/>
          <w:i/>
          <w:sz w:val="24"/>
          <w:szCs w:val="24"/>
          <w:lang w:val="en-US"/>
        </w:rPr>
        <w:t>roxy</w:t>
      </w:r>
      <w:r w:rsidR="00535B45">
        <w:rPr>
          <w:rFonts w:ascii="Times New Roman" w:hAnsi="Times New Roman"/>
          <w:sz w:val="24"/>
          <w:szCs w:val="24"/>
          <w:lang w:val="en-US"/>
        </w:rPr>
        <w:t xml:space="preserve"> tingkat ekonomi tidak menunjukkan hubungan bermakna.</w:t>
      </w:r>
    </w:p>
    <w:p w:rsidR="003E603A" w:rsidRPr="002333D6" w:rsidRDefault="007D2D15" w:rsidP="002333D6">
      <w:pPr>
        <w:autoSpaceDE w:val="0"/>
        <w:autoSpaceDN w:val="0"/>
        <w:adjustRightInd w:val="0"/>
        <w:spacing w:after="0" w:line="240" w:lineRule="auto"/>
        <w:jc w:val="center"/>
        <w:rPr>
          <w:rFonts w:ascii="Times New Roman" w:eastAsia="Calibri" w:hAnsi="Times New Roman"/>
        </w:rPr>
      </w:pPr>
      <w:r w:rsidRPr="002333D6">
        <w:rPr>
          <w:rFonts w:ascii="Times New Roman" w:eastAsia="Calibri" w:hAnsi="Times New Roman"/>
        </w:rPr>
        <w:t xml:space="preserve">Tabel 2. </w:t>
      </w:r>
      <w:r w:rsidR="003E603A" w:rsidRPr="002333D6">
        <w:rPr>
          <w:rFonts w:ascii="Times New Roman" w:eastAsia="Calibri" w:hAnsi="Times New Roman"/>
        </w:rPr>
        <w:t>Has</w:t>
      </w:r>
      <w:r w:rsidR="002D07C9" w:rsidRPr="002333D6">
        <w:rPr>
          <w:rFonts w:ascii="Times New Roman" w:eastAsia="Calibri" w:hAnsi="Times New Roman"/>
        </w:rPr>
        <w:t>il Analisis Chi Square</w:t>
      </w:r>
      <w:r w:rsidR="00064A1E" w:rsidRPr="002333D6">
        <w:rPr>
          <w:rFonts w:ascii="Times New Roman" w:eastAsia="Calibri" w:hAnsi="Times New Roman"/>
        </w:rPr>
        <w:t xml:space="preserve"> Variabel Hambatan Akses Kognitif,</w:t>
      </w:r>
      <w:r w:rsidR="003E603A" w:rsidRPr="002333D6">
        <w:rPr>
          <w:rFonts w:ascii="Times New Roman" w:eastAsia="Calibri" w:hAnsi="Times New Roman"/>
        </w:rPr>
        <w:t xml:space="preserve"> Hambatan Akses Psikososial</w:t>
      </w:r>
      <w:r w:rsidR="00064A1E" w:rsidRPr="002333D6">
        <w:rPr>
          <w:rFonts w:ascii="Times New Roman" w:eastAsia="Calibri" w:hAnsi="Times New Roman"/>
        </w:rPr>
        <w:t>, jenis kelamin</w:t>
      </w:r>
      <w:r w:rsidR="002D07C9" w:rsidRPr="002333D6">
        <w:rPr>
          <w:rFonts w:ascii="Times New Roman" w:eastAsia="Calibri" w:hAnsi="Times New Roman"/>
        </w:rPr>
        <w:t xml:space="preserve"> dan tingkat pengasilan orang tua</w:t>
      </w:r>
      <w:r w:rsidR="003E603A" w:rsidRPr="002333D6">
        <w:rPr>
          <w:rFonts w:ascii="Times New Roman" w:eastAsia="Calibri" w:hAnsi="Times New Roman"/>
        </w:rPr>
        <w:t xml:space="preserve"> terhadap Akses Informasi Kesehatan Reproduksi</w:t>
      </w:r>
    </w:p>
    <w:tbl>
      <w:tblPr>
        <w:tblW w:w="8698" w:type="dxa"/>
        <w:tblInd w:w="392" w:type="dxa"/>
        <w:tblBorders>
          <w:top w:val="single" w:sz="4" w:space="0" w:color="auto"/>
          <w:bottom w:val="single" w:sz="4" w:space="0" w:color="auto"/>
          <w:insideH w:val="single" w:sz="4" w:space="0" w:color="auto"/>
        </w:tblBorders>
        <w:tblLook w:val="04A0"/>
      </w:tblPr>
      <w:tblGrid>
        <w:gridCol w:w="2629"/>
        <w:gridCol w:w="709"/>
        <w:gridCol w:w="851"/>
        <w:gridCol w:w="708"/>
        <w:gridCol w:w="851"/>
        <w:gridCol w:w="960"/>
        <w:gridCol w:w="730"/>
        <w:gridCol w:w="1260"/>
      </w:tblGrid>
      <w:tr w:rsidR="003660CF" w:rsidRPr="002333D6" w:rsidTr="002333D6">
        <w:trPr>
          <w:trHeight w:val="315"/>
        </w:trPr>
        <w:tc>
          <w:tcPr>
            <w:tcW w:w="2629" w:type="dxa"/>
            <w:vMerge w:val="restart"/>
            <w:tcBorders>
              <w:bottom w:val="single" w:sz="4" w:space="0" w:color="auto"/>
            </w:tcBorders>
            <w:shd w:val="clear" w:color="auto" w:fill="auto"/>
            <w:noWrap/>
            <w:vAlign w:val="center"/>
            <w:hideMark/>
          </w:tcPr>
          <w:p w:rsidR="003660CF" w:rsidRPr="002333D6" w:rsidRDefault="003660CF" w:rsidP="001E366B">
            <w:pPr>
              <w:spacing w:after="0" w:line="240" w:lineRule="auto"/>
              <w:jc w:val="center"/>
              <w:rPr>
                <w:rFonts w:ascii="Times New Roman" w:hAnsi="Times New Roman"/>
                <w:b/>
                <w:bCs/>
                <w:color w:val="000000"/>
                <w:sz w:val="20"/>
                <w:szCs w:val="20"/>
              </w:rPr>
            </w:pPr>
            <w:r w:rsidRPr="002333D6">
              <w:rPr>
                <w:rFonts w:ascii="Times New Roman" w:hAnsi="Times New Roman"/>
                <w:b/>
                <w:bCs/>
                <w:color w:val="000000"/>
                <w:sz w:val="20"/>
                <w:szCs w:val="20"/>
              </w:rPr>
              <w:t>Variabel</w:t>
            </w:r>
          </w:p>
        </w:tc>
        <w:tc>
          <w:tcPr>
            <w:tcW w:w="3119" w:type="dxa"/>
            <w:gridSpan w:val="4"/>
            <w:tcBorders>
              <w:bottom w:val="nil"/>
            </w:tcBorders>
            <w:shd w:val="clear" w:color="auto" w:fill="auto"/>
            <w:noWrap/>
            <w:vAlign w:val="center"/>
            <w:hideMark/>
          </w:tcPr>
          <w:p w:rsidR="003660CF" w:rsidRPr="002333D6" w:rsidRDefault="003660CF" w:rsidP="001E366B">
            <w:pPr>
              <w:spacing w:after="0" w:line="240" w:lineRule="auto"/>
              <w:jc w:val="center"/>
              <w:rPr>
                <w:rFonts w:ascii="Times New Roman" w:hAnsi="Times New Roman"/>
                <w:b/>
                <w:bCs/>
                <w:color w:val="000000"/>
                <w:sz w:val="20"/>
                <w:szCs w:val="20"/>
              </w:rPr>
            </w:pPr>
            <w:r w:rsidRPr="002333D6">
              <w:rPr>
                <w:rFonts w:ascii="Times New Roman" w:hAnsi="Times New Roman"/>
                <w:b/>
                <w:bCs/>
                <w:color w:val="000000"/>
                <w:sz w:val="20"/>
                <w:szCs w:val="20"/>
              </w:rPr>
              <w:t>Akses Informasi Kesehatan Reproduksi</w:t>
            </w:r>
          </w:p>
        </w:tc>
        <w:tc>
          <w:tcPr>
            <w:tcW w:w="960" w:type="dxa"/>
            <w:vMerge w:val="restart"/>
            <w:tcBorders>
              <w:bottom w:val="single" w:sz="4" w:space="0" w:color="auto"/>
            </w:tcBorders>
            <w:shd w:val="clear" w:color="auto" w:fill="auto"/>
            <w:noWrap/>
            <w:vAlign w:val="center"/>
            <w:hideMark/>
          </w:tcPr>
          <w:p w:rsidR="003660CF" w:rsidRPr="002333D6" w:rsidRDefault="002333D6" w:rsidP="002333D6">
            <w:pPr>
              <w:spacing w:after="0" w:line="240" w:lineRule="auto"/>
              <w:jc w:val="center"/>
              <w:rPr>
                <w:rFonts w:ascii="Times New Roman" w:hAnsi="Times New Roman"/>
                <w:b/>
                <w:bCs/>
                <w:i/>
                <w:iCs/>
                <w:color w:val="000000"/>
                <w:sz w:val="20"/>
                <w:szCs w:val="20"/>
              </w:rPr>
            </w:pPr>
            <w:r>
              <w:rPr>
                <w:rFonts w:ascii="Times New Roman" w:hAnsi="Times New Roman"/>
                <w:b/>
                <w:bCs/>
                <w:i/>
                <w:iCs/>
                <w:color w:val="000000"/>
                <w:sz w:val="20"/>
                <w:szCs w:val="20"/>
                <w:lang w:val="en-US"/>
              </w:rPr>
              <w:t>P</w:t>
            </w:r>
            <w:r>
              <w:rPr>
                <w:rFonts w:ascii="Times New Roman" w:hAnsi="Times New Roman"/>
                <w:b/>
                <w:bCs/>
                <w:i/>
                <w:iCs/>
                <w:color w:val="000000"/>
                <w:sz w:val="20"/>
                <w:szCs w:val="20"/>
              </w:rPr>
              <w:t>-</w:t>
            </w:r>
            <w:r w:rsidR="003660CF" w:rsidRPr="002333D6">
              <w:rPr>
                <w:rFonts w:ascii="Times New Roman" w:hAnsi="Times New Roman"/>
                <w:b/>
                <w:bCs/>
                <w:i/>
                <w:iCs/>
                <w:color w:val="000000"/>
                <w:sz w:val="20"/>
                <w:szCs w:val="20"/>
              </w:rPr>
              <w:t>value</w:t>
            </w:r>
          </w:p>
        </w:tc>
        <w:tc>
          <w:tcPr>
            <w:tcW w:w="730" w:type="dxa"/>
            <w:vMerge w:val="restart"/>
            <w:tcBorders>
              <w:bottom w:val="single" w:sz="4" w:space="0" w:color="auto"/>
            </w:tcBorders>
            <w:vAlign w:val="center"/>
          </w:tcPr>
          <w:p w:rsidR="003660CF" w:rsidRPr="002333D6" w:rsidRDefault="003660CF" w:rsidP="002333D6">
            <w:pPr>
              <w:spacing w:after="0" w:line="240" w:lineRule="auto"/>
              <w:jc w:val="center"/>
              <w:rPr>
                <w:rFonts w:ascii="Times New Roman" w:hAnsi="Times New Roman"/>
                <w:b/>
                <w:bCs/>
                <w:i/>
                <w:iCs/>
                <w:color w:val="000000"/>
                <w:sz w:val="20"/>
                <w:szCs w:val="20"/>
                <w:lang w:val="en-US"/>
              </w:rPr>
            </w:pPr>
            <w:r w:rsidRPr="002333D6">
              <w:rPr>
                <w:rFonts w:ascii="Times New Roman" w:hAnsi="Times New Roman"/>
                <w:b/>
                <w:bCs/>
                <w:i/>
                <w:iCs/>
                <w:color w:val="000000"/>
                <w:sz w:val="20"/>
                <w:szCs w:val="20"/>
                <w:lang w:val="en-US"/>
              </w:rPr>
              <w:t>OR</w:t>
            </w:r>
          </w:p>
        </w:tc>
        <w:tc>
          <w:tcPr>
            <w:tcW w:w="1260" w:type="dxa"/>
            <w:vMerge w:val="restart"/>
            <w:tcBorders>
              <w:bottom w:val="single" w:sz="4" w:space="0" w:color="auto"/>
            </w:tcBorders>
            <w:vAlign w:val="center"/>
          </w:tcPr>
          <w:p w:rsidR="003660CF" w:rsidRPr="002333D6" w:rsidRDefault="003660CF" w:rsidP="002333D6">
            <w:pPr>
              <w:spacing w:after="0" w:line="240" w:lineRule="auto"/>
              <w:jc w:val="center"/>
              <w:rPr>
                <w:rFonts w:ascii="Times New Roman" w:hAnsi="Times New Roman"/>
                <w:b/>
                <w:bCs/>
                <w:i/>
                <w:iCs/>
                <w:color w:val="000000"/>
                <w:sz w:val="20"/>
                <w:szCs w:val="20"/>
                <w:lang w:val="en-US"/>
              </w:rPr>
            </w:pPr>
            <w:r w:rsidRPr="002333D6">
              <w:rPr>
                <w:rFonts w:ascii="Times New Roman" w:hAnsi="Times New Roman"/>
                <w:b/>
                <w:bCs/>
                <w:i/>
                <w:iCs/>
                <w:color w:val="000000"/>
                <w:sz w:val="20"/>
                <w:szCs w:val="20"/>
                <w:lang w:val="en-US"/>
              </w:rPr>
              <w:t>CI 95%</w:t>
            </w:r>
          </w:p>
        </w:tc>
      </w:tr>
      <w:tr w:rsidR="003660CF" w:rsidRPr="002333D6" w:rsidTr="002333D6">
        <w:trPr>
          <w:trHeight w:val="315"/>
        </w:trPr>
        <w:tc>
          <w:tcPr>
            <w:tcW w:w="2629" w:type="dxa"/>
            <w:vMerge/>
            <w:tcBorders>
              <w:top w:val="nil"/>
            </w:tcBorders>
            <w:vAlign w:val="center"/>
            <w:hideMark/>
          </w:tcPr>
          <w:p w:rsidR="003660CF" w:rsidRPr="002333D6" w:rsidRDefault="003660CF" w:rsidP="001E366B">
            <w:pPr>
              <w:spacing w:after="0" w:line="240" w:lineRule="auto"/>
              <w:rPr>
                <w:rFonts w:ascii="Times New Roman" w:hAnsi="Times New Roman"/>
                <w:b/>
                <w:bCs/>
                <w:color w:val="000000"/>
                <w:sz w:val="20"/>
                <w:szCs w:val="20"/>
              </w:rPr>
            </w:pPr>
          </w:p>
        </w:tc>
        <w:tc>
          <w:tcPr>
            <w:tcW w:w="1560" w:type="dxa"/>
            <w:gridSpan w:val="2"/>
            <w:tcBorders>
              <w:top w:val="nil"/>
              <w:bottom w:val="single" w:sz="4" w:space="0" w:color="auto"/>
            </w:tcBorders>
            <w:shd w:val="clear" w:color="auto" w:fill="auto"/>
            <w:noWrap/>
            <w:vAlign w:val="center"/>
            <w:hideMark/>
          </w:tcPr>
          <w:p w:rsidR="003660CF" w:rsidRPr="002333D6" w:rsidRDefault="003660CF" w:rsidP="001E366B">
            <w:pPr>
              <w:spacing w:after="0" w:line="240" w:lineRule="auto"/>
              <w:jc w:val="center"/>
              <w:rPr>
                <w:rFonts w:ascii="Times New Roman" w:hAnsi="Times New Roman"/>
                <w:b/>
                <w:bCs/>
                <w:color w:val="000000"/>
                <w:sz w:val="20"/>
                <w:szCs w:val="20"/>
              </w:rPr>
            </w:pPr>
            <w:r w:rsidRPr="002333D6">
              <w:rPr>
                <w:rFonts w:ascii="Times New Roman" w:hAnsi="Times New Roman"/>
                <w:b/>
                <w:bCs/>
                <w:color w:val="000000"/>
                <w:sz w:val="20"/>
                <w:szCs w:val="20"/>
              </w:rPr>
              <w:t>Mengakses</w:t>
            </w:r>
          </w:p>
        </w:tc>
        <w:tc>
          <w:tcPr>
            <w:tcW w:w="1559" w:type="dxa"/>
            <w:gridSpan w:val="2"/>
            <w:tcBorders>
              <w:top w:val="nil"/>
              <w:bottom w:val="single" w:sz="4" w:space="0" w:color="auto"/>
            </w:tcBorders>
            <w:shd w:val="clear" w:color="auto" w:fill="auto"/>
            <w:noWrap/>
            <w:vAlign w:val="center"/>
            <w:hideMark/>
          </w:tcPr>
          <w:p w:rsidR="003660CF" w:rsidRPr="002333D6" w:rsidRDefault="003660CF" w:rsidP="001E366B">
            <w:pPr>
              <w:spacing w:after="0" w:line="240" w:lineRule="auto"/>
              <w:jc w:val="center"/>
              <w:rPr>
                <w:rFonts w:ascii="Times New Roman" w:hAnsi="Times New Roman"/>
                <w:b/>
                <w:bCs/>
                <w:color w:val="000000"/>
                <w:sz w:val="20"/>
                <w:szCs w:val="20"/>
              </w:rPr>
            </w:pPr>
            <w:r w:rsidRPr="002333D6">
              <w:rPr>
                <w:rFonts w:ascii="Times New Roman" w:hAnsi="Times New Roman"/>
                <w:b/>
                <w:bCs/>
                <w:color w:val="000000"/>
                <w:sz w:val="20"/>
                <w:szCs w:val="20"/>
              </w:rPr>
              <w:t>Tidak Mengakses</w:t>
            </w:r>
          </w:p>
        </w:tc>
        <w:tc>
          <w:tcPr>
            <w:tcW w:w="960" w:type="dxa"/>
            <w:vMerge/>
            <w:tcBorders>
              <w:top w:val="nil"/>
            </w:tcBorders>
            <w:vAlign w:val="center"/>
            <w:hideMark/>
          </w:tcPr>
          <w:p w:rsidR="003660CF" w:rsidRPr="002333D6" w:rsidRDefault="003660CF" w:rsidP="001E366B">
            <w:pPr>
              <w:spacing w:after="0" w:line="240" w:lineRule="auto"/>
              <w:rPr>
                <w:rFonts w:ascii="Times New Roman" w:hAnsi="Times New Roman"/>
                <w:b/>
                <w:bCs/>
                <w:i/>
                <w:iCs/>
                <w:color w:val="000000"/>
                <w:sz w:val="20"/>
                <w:szCs w:val="20"/>
              </w:rPr>
            </w:pPr>
          </w:p>
        </w:tc>
        <w:tc>
          <w:tcPr>
            <w:tcW w:w="730" w:type="dxa"/>
            <w:vMerge/>
            <w:tcBorders>
              <w:top w:val="nil"/>
            </w:tcBorders>
          </w:tcPr>
          <w:p w:rsidR="003660CF" w:rsidRPr="002333D6" w:rsidRDefault="003660CF" w:rsidP="001E366B">
            <w:pPr>
              <w:spacing w:after="0" w:line="240" w:lineRule="auto"/>
              <w:rPr>
                <w:rFonts w:ascii="Times New Roman" w:hAnsi="Times New Roman"/>
                <w:b/>
                <w:bCs/>
                <w:i/>
                <w:iCs/>
                <w:color w:val="000000"/>
                <w:sz w:val="20"/>
                <w:szCs w:val="20"/>
              </w:rPr>
            </w:pPr>
          </w:p>
        </w:tc>
        <w:tc>
          <w:tcPr>
            <w:tcW w:w="1260" w:type="dxa"/>
            <w:vMerge/>
            <w:tcBorders>
              <w:top w:val="nil"/>
            </w:tcBorders>
          </w:tcPr>
          <w:p w:rsidR="003660CF" w:rsidRPr="002333D6" w:rsidRDefault="003660CF" w:rsidP="001E366B">
            <w:pPr>
              <w:spacing w:after="0" w:line="240" w:lineRule="auto"/>
              <w:rPr>
                <w:rFonts w:ascii="Times New Roman" w:hAnsi="Times New Roman"/>
                <w:b/>
                <w:bCs/>
                <w:i/>
                <w:iCs/>
                <w:color w:val="000000"/>
                <w:sz w:val="20"/>
                <w:szCs w:val="20"/>
              </w:rPr>
            </w:pPr>
          </w:p>
        </w:tc>
      </w:tr>
      <w:tr w:rsidR="003660CF" w:rsidRPr="002333D6" w:rsidTr="002333D6">
        <w:trPr>
          <w:trHeight w:val="315"/>
        </w:trPr>
        <w:tc>
          <w:tcPr>
            <w:tcW w:w="2629" w:type="dxa"/>
            <w:vMerge/>
            <w:tcBorders>
              <w:bottom w:val="single" w:sz="4" w:space="0" w:color="auto"/>
            </w:tcBorders>
            <w:vAlign w:val="center"/>
            <w:hideMark/>
          </w:tcPr>
          <w:p w:rsidR="003660CF" w:rsidRPr="002333D6" w:rsidRDefault="003660CF" w:rsidP="001E366B">
            <w:pPr>
              <w:spacing w:after="0" w:line="240" w:lineRule="auto"/>
              <w:rPr>
                <w:rFonts w:ascii="Times New Roman" w:hAnsi="Times New Roman"/>
                <w:b/>
                <w:bCs/>
                <w:color w:val="000000"/>
                <w:sz w:val="20"/>
                <w:szCs w:val="20"/>
              </w:rPr>
            </w:pPr>
          </w:p>
        </w:tc>
        <w:tc>
          <w:tcPr>
            <w:tcW w:w="709" w:type="dxa"/>
            <w:tcBorders>
              <w:bottom w:val="single" w:sz="4" w:space="0" w:color="auto"/>
            </w:tcBorders>
            <w:shd w:val="clear" w:color="auto" w:fill="auto"/>
            <w:noWrap/>
            <w:vAlign w:val="bottom"/>
            <w:hideMark/>
          </w:tcPr>
          <w:p w:rsidR="003660CF" w:rsidRPr="002333D6" w:rsidRDefault="003660CF" w:rsidP="001E366B">
            <w:pPr>
              <w:spacing w:after="0" w:line="240" w:lineRule="auto"/>
              <w:jc w:val="center"/>
              <w:rPr>
                <w:rFonts w:ascii="Times New Roman" w:hAnsi="Times New Roman"/>
                <w:b/>
                <w:bCs/>
                <w:color w:val="000000"/>
                <w:sz w:val="20"/>
                <w:szCs w:val="20"/>
              </w:rPr>
            </w:pPr>
            <w:r w:rsidRPr="002333D6">
              <w:rPr>
                <w:rFonts w:ascii="Times New Roman" w:hAnsi="Times New Roman"/>
                <w:b/>
                <w:bCs/>
                <w:color w:val="000000"/>
                <w:sz w:val="20"/>
                <w:szCs w:val="20"/>
              </w:rPr>
              <w:t>(n)</w:t>
            </w:r>
          </w:p>
        </w:tc>
        <w:tc>
          <w:tcPr>
            <w:tcW w:w="851" w:type="dxa"/>
            <w:tcBorders>
              <w:bottom w:val="single" w:sz="4" w:space="0" w:color="auto"/>
            </w:tcBorders>
            <w:shd w:val="clear" w:color="auto" w:fill="auto"/>
            <w:noWrap/>
            <w:vAlign w:val="bottom"/>
            <w:hideMark/>
          </w:tcPr>
          <w:p w:rsidR="003660CF" w:rsidRPr="002333D6" w:rsidRDefault="003660CF" w:rsidP="001E366B">
            <w:pPr>
              <w:spacing w:after="0" w:line="240" w:lineRule="auto"/>
              <w:jc w:val="center"/>
              <w:rPr>
                <w:rFonts w:ascii="Times New Roman" w:hAnsi="Times New Roman"/>
                <w:b/>
                <w:bCs/>
                <w:color w:val="000000"/>
                <w:sz w:val="20"/>
                <w:szCs w:val="20"/>
              </w:rPr>
            </w:pPr>
            <w:r w:rsidRPr="002333D6">
              <w:rPr>
                <w:rFonts w:ascii="Times New Roman" w:hAnsi="Times New Roman"/>
                <w:b/>
                <w:bCs/>
                <w:color w:val="000000"/>
                <w:sz w:val="20"/>
                <w:szCs w:val="20"/>
              </w:rPr>
              <w:t>%</w:t>
            </w:r>
          </w:p>
        </w:tc>
        <w:tc>
          <w:tcPr>
            <w:tcW w:w="708" w:type="dxa"/>
            <w:tcBorders>
              <w:bottom w:val="single" w:sz="4" w:space="0" w:color="auto"/>
            </w:tcBorders>
            <w:shd w:val="clear" w:color="auto" w:fill="auto"/>
            <w:noWrap/>
            <w:vAlign w:val="bottom"/>
            <w:hideMark/>
          </w:tcPr>
          <w:p w:rsidR="003660CF" w:rsidRPr="002333D6" w:rsidRDefault="003660CF" w:rsidP="001E366B">
            <w:pPr>
              <w:spacing w:after="0" w:line="240" w:lineRule="auto"/>
              <w:jc w:val="center"/>
              <w:rPr>
                <w:rFonts w:ascii="Times New Roman" w:hAnsi="Times New Roman"/>
                <w:b/>
                <w:bCs/>
                <w:color w:val="000000"/>
                <w:sz w:val="20"/>
                <w:szCs w:val="20"/>
              </w:rPr>
            </w:pPr>
            <w:r w:rsidRPr="002333D6">
              <w:rPr>
                <w:rFonts w:ascii="Times New Roman" w:hAnsi="Times New Roman"/>
                <w:b/>
                <w:bCs/>
                <w:color w:val="000000"/>
                <w:sz w:val="20"/>
                <w:szCs w:val="20"/>
              </w:rPr>
              <w:t>(n)</w:t>
            </w:r>
          </w:p>
        </w:tc>
        <w:tc>
          <w:tcPr>
            <w:tcW w:w="851" w:type="dxa"/>
            <w:tcBorders>
              <w:bottom w:val="single" w:sz="4" w:space="0" w:color="auto"/>
            </w:tcBorders>
            <w:shd w:val="clear" w:color="auto" w:fill="auto"/>
            <w:noWrap/>
            <w:vAlign w:val="bottom"/>
            <w:hideMark/>
          </w:tcPr>
          <w:p w:rsidR="003660CF" w:rsidRPr="002333D6" w:rsidRDefault="003660CF" w:rsidP="001E366B">
            <w:pPr>
              <w:spacing w:after="0" w:line="240" w:lineRule="auto"/>
              <w:jc w:val="center"/>
              <w:rPr>
                <w:rFonts w:ascii="Times New Roman" w:hAnsi="Times New Roman"/>
                <w:b/>
                <w:bCs/>
                <w:color w:val="000000"/>
                <w:sz w:val="20"/>
                <w:szCs w:val="20"/>
              </w:rPr>
            </w:pPr>
            <w:r w:rsidRPr="002333D6">
              <w:rPr>
                <w:rFonts w:ascii="Times New Roman" w:hAnsi="Times New Roman"/>
                <w:b/>
                <w:bCs/>
                <w:color w:val="000000"/>
                <w:sz w:val="20"/>
                <w:szCs w:val="20"/>
              </w:rPr>
              <w:t>%</w:t>
            </w:r>
          </w:p>
        </w:tc>
        <w:tc>
          <w:tcPr>
            <w:tcW w:w="960" w:type="dxa"/>
            <w:vMerge/>
            <w:tcBorders>
              <w:top w:val="nil"/>
              <w:bottom w:val="single" w:sz="4" w:space="0" w:color="auto"/>
            </w:tcBorders>
            <w:vAlign w:val="center"/>
            <w:hideMark/>
          </w:tcPr>
          <w:p w:rsidR="003660CF" w:rsidRPr="002333D6" w:rsidRDefault="003660CF" w:rsidP="001E366B">
            <w:pPr>
              <w:spacing w:after="0" w:line="240" w:lineRule="auto"/>
              <w:rPr>
                <w:rFonts w:ascii="Times New Roman" w:hAnsi="Times New Roman"/>
                <w:b/>
                <w:bCs/>
                <w:i/>
                <w:iCs/>
                <w:color w:val="000000"/>
                <w:sz w:val="20"/>
                <w:szCs w:val="20"/>
              </w:rPr>
            </w:pPr>
          </w:p>
        </w:tc>
        <w:tc>
          <w:tcPr>
            <w:tcW w:w="730" w:type="dxa"/>
            <w:vMerge/>
            <w:tcBorders>
              <w:top w:val="nil"/>
              <w:bottom w:val="single" w:sz="4" w:space="0" w:color="auto"/>
            </w:tcBorders>
          </w:tcPr>
          <w:p w:rsidR="003660CF" w:rsidRPr="002333D6" w:rsidRDefault="003660CF" w:rsidP="001E366B">
            <w:pPr>
              <w:spacing w:after="0" w:line="240" w:lineRule="auto"/>
              <w:rPr>
                <w:rFonts w:ascii="Times New Roman" w:hAnsi="Times New Roman"/>
                <w:b/>
                <w:bCs/>
                <w:i/>
                <w:iCs/>
                <w:color w:val="000000"/>
                <w:sz w:val="20"/>
                <w:szCs w:val="20"/>
              </w:rPr>
            </w:pPr>
          </w:p>
        </w:tc>
        <w:tc>
          <w:tcPr>
            <w:tcW w:w="1260" w:type="dxa"/>
            <w:vMerge/>
            <w:tcBorders>
              <w:top w:val="nil"/>
              <w:bottom w:val="single" w:sz="4" w:space="0" w:color="auto"/>
            </w:tcBorders>
          </w:tcPr>
          <w:p w:rsidR="003660CF" w:rsidRPr="002333D6" w:rsidRDefault="003660CF" w:rsidP="001E366B">
            <w:pPr>
              <w:spacing w:after="0" w:line="240" w:lineRule="auto"/>
              <w:rPr>
                <w:rFonts w:ascii="Times New Roman" w:hAnsi="Times New Roman"/>
                <w:b/>
                <w:bCs/>
                <w:i/>
                <w:iCs/>
                <w:color w:val="000000"/>
                <w:sz w:val="20"/>
                <w:szCs w:val="20"/>
              </w:rPr>
            </w:pPr>
          </w:p>
        </w:tc>
      </w:tr>
      <w:tr w:rsidR="003660CF" w:rsidRPr="002333D6" w:rsidTr="002333D6">
        <w:trPr>
          <w:trHeight w:val="315"/>
        </w:trPr>
        <w:tc>
          <w:tcPr>
            <w:tcW w:w="2629" w:type="dxa"/>
            <w:tcBorders>
              <w:top w:val="single" w:sz="4" w:space="0" w:color="auto"/>
              <w:bottom w:val="nil"/>
            </w:tcBorders>
            <w:vAlign w:val="center"/>
          </w:tcPr>
          <w:p w:rsidR="003A009B" w:rsidRDefault="003A009B" w:rsidP="001E366B">
            <w:pPr>
              <w:spacing w:after="0" w:line="240" w:lineRule="auto"/>
              <w:rPr>
                <w:rFonts w:ascii="Times New Roman" w:hAnsi="Times New Roman"/>
                <w:b/>
                <w:bCs/>
                <w:color w:val="000000"/>
                <w:sz w:val="20"/>
                <w:szCs w:val="20"/>
                <w:lang w:val="en-US"/>
              </w:rPr>
            </w:pPr>
          </w:p>
          <w:p w:rsidR="003660CF" w:rsidRPr="002333D6" w:rsidRDefault="00727420" w:rsidP="001E366B">
            <w:pPr>
              <w:spacing w:after="0" w:line="240" w:lineRule="auto"/>
              <w:rPr>
                <w:rFonts w:ascii="Times New Roman" w:hAnsi="Times New Roman"/>
                <w:b/>
                <w:bCs/>
                <w:color w:val="000000"/>
                <w:sz w:val="20"/>
                <w:szCs w:val="20"/>
                <w:lang w:val="en-US"/>
              </w:rPr>
            </w:pPr>
            <w:r w:rsidRPr="002333D6">
              <w:rPr>
                <w:rFonts w:ascii="Times New Roman" w:hAnsi="Times New Roman"/>
                <w:b/>
                <w:bCs/>
                <w:color w:val="000000"/>
                <w:sz w:val="20"/>
                <w:szCs w:val="20"/>
                <w:lang w:val="en-US"/>
              </w:rPr>
              <w:t>Hambatan Akses kognitif</w:t>
            </w:r>
          </w:p>
          <w:p w:rsidR="00727420" w:rsidRPr="002333D6" w:rsidRDefault="00727420" w:rsidP="001E366B">
            <w:pPr>
              <w:spacing w:after="0" w:line="240" w:lineRule="auto"/>
              <w:rPr>
                <w:rFonts w:ascii="Times New Roman" w:hAnsi="Times New Roman"/>
                <w:bCs/>
                <w:color w:val="000000"/>
                <w:sz w:val="20"/>
                <w:szCs w:val="20"/>
                <w:lang w:val="en-US"/>
              </w:rPr>
            </w:pPr>
            <w:r w:rsidRPr="002333D6">
              <w:rPr>
                <w:rFonts w:ascii="Times New Roman" w:hAnsi="Times New Roman"/>
                <w:bCs/>
                <w:color w:val="000000"/>
                <w:sz w:val="20"/>
                <w:szCs w:val="20"/>
                <w:lang w:val="en-US"/>
              </w:rPr>
              <w:t>Tidak mengalami</w:t>
            </w:r>
          </w:p>
          <w:p w:rsidR="00727420" w:rsidRPr="002333D6" w:rsidRDefault="00727420" w:rsidP="001E366B">
            <w:pPr>
              <w:spacing w:after="0" w:line="240" w:lineRule="auto"/>
              <w:rPr>
                <w:rFonts w:ascii="Times New Roman" w:hAnsi="Times New Roman"/>
                <w:b/>
                <w:bCs/>
                <w:color w:val="000000"/>
                <w:sz w:val="20"/>
                <w:szCs w:val="20"/>
                <w:lang w:val="en-US"/>
              </w:rPr>
            </w:pPr>
            <w:r w:rsidRPr="002333D6">
              <w:rPr>
                <w:rFonts w:ascii="Times New Roman" w:hAnsi="Times New Roman"/>
                <w:bCs/>
                <w:color w:val="000000"/>
                <w:sz w:val="20"/>
                <w:szCs w:val="20"/>
                <w:lang w:val="en-US"/>
              </w:rPr>
              <w:t>Mengalami</w:t>
            </w:r>
            <w:r w:rsidRPr="002333D6">
              <w:rPr>
                <w:rFonts w:ascii="Times New Roman" w:hAnsi="Times New Roman"/>
                <w:bCs/>
                <w:color w:val="000000"/>
                <w:sz w:val="20"/>
                <w:szCs w:val="20"/>
                <w:vertAlign w:val="superscript"/>
                <w:lang w:val="en-US"/>
              </w:rPr>
              <w:t>Ref</w:t>
            </w:r>
          </w:p>
        </w:tc>
        <w:tc>
          <w:tcPr>
            <w:tcW w:w="709" w:type="dxa"/>
            <w:tcBorders>
              <w:top w:val="single" w:sz="4" w:space="0" w:color="auto"/>
              <w:bottom w:val="nil"/>
            </w:tcBorders>
            <w:shd w:val="clear" w:color="auto" w:fill="auto"/>
            <w:noWrap/>
            <w:vAlign w:val="bottom"/>
          </w:tcPr>
          <w:p w:rsidR="003660CF" w:rsidRPr="002333D6" w:rsidRDefault="00727420" w:rsidP="001E366B">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67</w:t>
            </w:r>
          </w:p>
          <w:p w:rsidR="00727420" w:rsidRPr="002333D6" w:rsidRDefault="00727420" w:rsidP="001E366B">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77</w:t>
            </w:r>
          </w:p>
        </w:tc>
        <w:tc>
          <w:tcPr>
            <w:tcW w:w="851" w:type="dxa"/>
            <w:tcBorders>
              <w:top w:val="single" w:sz="4" w:space="0" w:color="auto"/>
              <w:bottom w:val="nil"/>
            </w:tcBorders>
            <w:shd w:val="clear" w:color="auto" w:fill="auto"/>
            <w:noWrap/>
            <w:vAlign w:val="bottom"/>
          </w:tcPr>
          <w:p w:rsidR="003660CF" w:rsidRPr="002333D6" w:rsidRDefault="00727420" w:rsidP="001E366B">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60.4</w:t>
            </w:r>
          </w:p>
          <w:p w:rsidR="00727420" w:rsidRPr="002333D6" w:rsidRDefault="00727420" w:rsidP="001E366B">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45.6</w:t>
            </w:r>
          </w:p>
        </w:tc>
        <w:tc>
          <w:tcPr>
            <w:tcW w:w="708" w:type="dxa"/>
            <w:tcBorders>
              <w:top w:val="single" w:sz="4" w:space="0" w:color="auto"/>
              <w:bottom w:val="nil"/>
            </w:tcBorders>
            <w:shd w:val="clear" w:color="auto" w:fill="auto"/>
            <w:noWrap/>
            <w:vAlign w:val="bottom"/>
          </w:tcPr>
          <w:p w:rsidR="003660CF" w:rsidRPr="002333D6" w:rsidRDefault="00727420" w:rsidP="001E366B">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44</w:t>
            </w:r>
          </w:p>
          <w:p w:rsidR="00727420" w:rsidRPr="002333D6" w:rsidRDefault="00727420" w:rsidP="001E366B">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92</w:t>
            </w:r>
          </w:p>
        </w:tc>
        <w:tc>
          <w:tcPr>
            <w:tcW w:w="851" w:type="dxa"/>
            <w:tcBorders>
              <w:top w:val="single" w:sz="4" w:space="0" w:color="auto"/>
              <w:bottom w:val="nil"/>
            </w:tcBorders>
            <w:shd w:val="clear" w:color="auto" w:fill="auto"/>
            <w:noWrap/>
            <w:vAlign w:val="bottom"/>
          </w:tcPr>
          <w:p w:rsidR="003660CF" w:rsidRPr="002333D6" w:rsidRDefault="00727420" w:rsidP="003660CF">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39.6</w:t>
            </w:r>
          </w:p>
          <w:p w:rsidR="00727420" w:rsidRPr="002333D6" w:rsidRDefault="00727420" w:rsidP="003660CF">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54.4</w:t>
            </w:r>
          </w:p>
        </w:tc>
        <w:tc>
          <w:tcPr>
            <w:tcW w:w="960" w:type="dxa"/>
            <w:tcBorders>
              <w:top w:val="single" w:sz="4" w:space="0" w:color="auto"/>
              <w:bottom w:val="nil"/>
            </w:tcBorders>
          </w:tcPr>
          <w:p w:rsidR="00FC393B" w:rsidRDefault="00FC393B" w:rsidP="002333D6">
            <w:pPr>
              <w:spacing w:after="0" w:line="240" w:lineRule="auto"/>
              <w:rPr>
                <w:rFonts w:ascii="Times New Roman" w:hAnsi="Times New Roman"/>
                <w:bCs/>
                <w:iCs/>
                <w:color w:val="000000"/>
                <w:sz w:val="20"/>
                <w:szCs w:val="20"/>
                <w:lang w:val="en-US"/>
              </w:rPr>
            </w:pPr>
          </w:p>
          <w:p w:rsidR="003660CF" w:rsidRPr="002333D6" w:rsidRDefault="00727420" w:rsidP="002333D6">
            <w:pPr>
              <w:spacing w:after="0" w:line="240" w:lineRule="auto"/>
              <w:rPr>
                <w:rFonts w:ascii="Times New Roman" w:hAnsi="Times New Roman"/>
                <w:bCs/>
                <w:iCs/>
                <w:color w:val="000000"/>
                <w:sz w:val="20"/>
                <w:szCs w:val="20"/>
                <w:lang w:val="en-US"/>
              </w:rPr>
            </w:pPr>
            <w:r w:rsidRPr="002333D6">
              <w:rPr>
                <w:rFonts w:ascii="Times New Roman" w:hAnsi="Times New Roman"/>
                <w:bCs/>
                <w:iCs/>
                <w:color w:val="000000"/>
                <w:sz w:val="20"/>
                <w:szCs w:val="20"/>
                <w:lang w:val="en-US"/>
              </w:rPr>
              <w:t>0.015</w:t>
            </w:r>
          </w:p>
        </w:tc>
        <w:tc>
          <w:tcPr>
            <w:tcW w:w="730" w:type="dxa"/>
            <w:tcBorders>
              <w:top w:val="single" w:sz="4" w:space="0" w:color="auto"/>
              <w:bottom w:val="nil"/>
            </w:tcBorders>
          </w:tcPr>
          <w:p w:rsidR="003660CF" w:rsidRPr="002333D6" w:rsidRDefault="003660CF" w:rsidP="001E366B">
            <w:pPr>
              <w:spacing w:after="0" w:line="240" w:lineRule="auto"/>
              <w:rPr>
                <w:rFonts w:ascii="Times New Roman" w:hAnsi="Times New Roman"/>
                <w:bCs/>
                <w:iCs/>
                <w:color w:val="000000"/>
                <w:sz w:val="20"/>
                <w:szCs w:val="20"/>
              </w:rPr>
            </w:pPr>
          </w:p>
          <w:p w:rsidR="00727420" w:rsidRPr="002333D6" w:rsidRDefault="00727420" w:rsidP="001E366B">
            <w:pPr>
              <w:spacing w:after="0" w:line="240" w:lineRule="auto"/>
              <w:rPr>
                <w:rFonts w:ascii="Times New Roman" w:hAnsi="Times New Roman"/>
                <w:bCs/>
                <w:iCs/>
                <w:color w:val="000000"/>
                <w:sz w:val="20"/>
                <w:szCs w:val="20"/>
              </w:rPr>
            </w:pPr>
          </w:p>
          <w:p w:rsidR="00727420" w:rsidRPr="002333D6" w:rsidRDefault="00727420" w:rsidP="001E366B">
            <w:pPr>
              <w:spacing w:after="0" w:line="240" w:lineRule="auto"/>
              <w:rPr>
                <w:rFonts w:ascii="Times New Roman" w:hAnsi="Times New Roman"/>
                <w:bCs/>
                <w:iCs/>
                <w:color w:val="000000"/>
                <w:sz w:val="20"/>
                <w:szCs w:val="20"/>
                <w:lang w:val="en-US"/>
              </w:rPr>
            </w:pPr>
            <w:r w:rsidRPr="002333D6">
              <w:rPr>
                <w:rFonts w:ascii="Times New Roman" w:hAnsi="Times New Roman"/>
                <w:bCs/>
                <w:iCs/>
                <w:color w:val="000000"/>
                <w:sz w:val="20"/>
                <w:szCs w:val="20"/>
                <w:lang w:val="en-US"/>
              </w:rPr>
              <w:t>1.8</w:t>
            </w:r>
          </w:p>
          <w:p w:rsidR="00727420" w:rsidRPr="002333D6" w:rsidRDefault="00727420" w:rsidP="001E366B">
            <w:pPr>
              <w:spacing w:after="0" w:line="240" w:lineRule="auto"/>
              <w:rPr>
                <w:rFonts w:ascii="Times New Roman" w:hAnsi="Times New Roman"/>
                <w:bCs/>
                <w:iCs/>
                <w:color w:val="000000"/>
                <w:sz w:val="20"/>
                <w:szCs w:val="20"/>
                <w:lang w:val="en-US"/>
              </w:rPr>
            </w:pPr>
          </w:p>
        </w:tc>
        <w:tc>
          <w:tcPr>
            <w:tcW w:w="1260" w:type="dxa"/>
            <w:tcBorders>
              <w:top w:val="single" w:sz="4" w:space="0" w:color="auto"/>
              <w:bottom w:val="nil"/>
            </w:tcBorders>
          </w:tcPr>
          <w:p w:rsidR="003660CF" w:rsidRPr="002333D6" w:rsidRDefault="003660CF" w:rsidP="001E366B">
            <w:pPr>
              <w:spacing w:after="0" w:line="240" w:lineRule="auto"/>
              <w:rPr>
                <w:rFonts w:ascii="Times New Roman" w:hAnsi="Times New Roman"/>
                <w:bCs/>
                <w:iCs/>
                <w:color w:val="000000"/>
                <w:sz w:val="20"/>
                <w:szCs w:val="20"/>
              </w:rPr>
            </w:pPr>
          </w:p>
          <w:p w:rsidR="00727420" w:rsidRPr="002333D6" w:rsidRDefault="00727420" w:rsidP="001E366B">
            <w:pPr>
              <w:spacing w:after="0" w:line="240" w:lineRule="auto"/>
              <w:rPr>
                <w:rFonts w:ascii="Times New Roman" w:hAnsi="Times New Roman"/>
                <w:bCs/>
                <w:iCs/>
                <w:color w:val="000000"/>
                <w:sz w:val="20"/>
                <w:szCs w:val="20"/>
              </w:rPr>
            </w:pPr>
          </w:p>
          <w:p w:rsidR="00727420" w:rsidRPr="002333D6" w:rsidRDefault="00727420" w:rsidP="001E366B">
            <w:pPr>
              <w:spacing w:after="0" w:line="240" w:lineRule="auto"/>
              <w:rPr>
                <w:rFonts w:ascii="Times New Roman" w:hAnsi="Times New Roman"/>
                <w:bCs/>
                <w:iCs/>
                <w:color w:val="000000"/>
                <w:sz w:val="20"/>
                <w:szCs w:val="20"/>
                <w:lang w:val="en-US"/>
              </w:rPr>
            </w:pPr>
            <w:r w:rsidRPr="002333D6">
              <w:rPr>
                <w:rFonts w:ascii="Times New Roman" w:hAnsi="Times New Roman"/>
                <w:bCs/>
                <w:iCs/>
                <w:color w:val="000000"/>
                <w:sz w:val="20"/>
                <w:szCs w:val="20"/>
                <w:lang w:val="en-US"/>
              </w:rPr>
              <w:t>1.11-2.95</w:t>
            </w:r>
          </w:p>
        </w:tc>
      </w:tr>
      <w:tr w:rsidR="00727420" w:rsidRPr="002333D6" w:rsidTr="002333D6">
        <w:trPr>
          <w:trHeight w:val="315"/>
        </w:trPr>
        <w:tc>
          <w:tcPr>
            <w:tcW w:w="2629" w:type="dxa"/>
            <w:tcBorders>
              <w:top w:val="nil"/>
              <w:bottom w:val="nil"/>
            </w:tcBorders>
            <w:vAlign w:val="center"/>
          </w:tcPr>
          <w:p w:rsidR="00727420" w:rsidRPr="002333D6" w:rsidRDefault="00727420" w:rsidP="00727420">
            <w:pPr>
              <w:spacing w:after="0" w:line="240" w:lineRule="auto"/>
              <w:rPr>
                <w:rFonts w:ascii="Times New Roman" w:hAnsi="Times New Roman"/>
                <w:b/>
                <w:bCs/>
                <w:color w:val="000000"/>
                <w:sz w:val="20"/>
                <w:szCs w:val="20"/>
                <w:lang w:val="en-US"/>
              </w:rPr>
            </w:pPr>
            <w:r w:rsidRPr="002333D6">
              <w:rPr>
                <w:rFonts w:ascii="Times New Roman" w:hAnsi="Times New Roman"/>
                <w:b/>
                <w:bCs/>
                <w:color w:val="000000"/>
                <w:sz w:val="20"/>
                <w:szCs w:val="20"/>
                <w:lang w:val="en-US"/>
              </w:rPr>
              <w:t>Hambatan Akses Psikosial</w:t>
            </w:r>
          </w:p>
          <w:p w:rsidR="00727420" w:rsidRPr="002333D6" w:rsidRDefault="00727420" w:rsidP="00727420">
            <w:pPr>
              <w:spacing w:after="0" w:line="240" w:lineRule="auto"/>
              <w:rPr>
                <w:rFonts w:ascii="Times New Roman" w:hAnsi="Times New Roman"/>
                <w:bCs/>
                <w:color w:val="000000"/>
                <w:sz w:val="20"/>
                <w:szCs w:val="20"/>
                <w:lang w:val="en-US"/>
              </w:rPr>
            </w:pPr>
            <w:r w:rsidRPr="002333D6">
              <w:rPr>
                <w:rFonts w:ascii="Times New Roman" w:hAnsi="Times New Roman"/>
                <w:bCs/>
                <w:color w:val="000000"/>
                <w:sz w:val="20"/>
                <w:szCs w:val="20"/>
                <w:lang w:val="en-US"/>
              </w:rPr>
              <w:t>Tidak mengalami</w:t>
            </w:r>
          </w:p>
          <w:p w:rsidR="00727420" w:rsidRPr="002333D6" w:rsidRDefault="00727420" w:rsidP="00727420">
            <w:pPr>
              <w:spacing w:after="0" w:line="240" w:lineRule="auto"/>
              <w:rPr>
                <w:rFonts w:ascii="Times New Roman" w:hAnsi="Times New Roman"/>
                <w:b/>
                <w:bCs/>
                <w:color w:val="000000"/>
                <w:sz w:val="20"/>
                <w:szCs w:val="20"/>
                <w:lang w:val="en-US"/>
              </w:rPr>
            </w:pPr>
            <w:r w:rsidRPr="002333D6">
              <w:rPr>
                <w:rFonts w:ascii="Times New Roman" w:hAnsi="Times New Roman"/>
                <w:bCs/>
                <w:color w:val="000000"/>
                <w:sz w:val="20"/>
                <w:szCs w:val="20"/>
                <w:lang w:val="en-US"/>
              </w:rPr>
              <w:t>Mengalami</w:t>
            </w:r>
            <w:r w:rsidRPr="002333D6">
              <w:rPr>
                <w:rFonts w:ascii="Times New Roman" w:hAnsi="Times New Roman"/>
                <w:bCs/>
                <w:color w:val="000000"/>
                <w:sz w:val="20"/>
                <w:szCs w:val="20"/>
                <w:vertAlign w:val="superscript"/>
                <w:lang w:val="en-US"/>
              </w:rPr>
              <w:t>Ref</w:t>
            </w:r>
          </w:p>
        </w:tc>
        <w:tc>
          <w:tcPr>
            <w:tcW w:w="709" w:type="dxa"/>
            <w:tcBorders>
              <w:top w:val="nil"/>
              <w:bottom w:val="nil"/>
            </w:tcBorders>
            <w:shd w:val="clear" w:color="auto" w:fill="auto"/>
            <w:noWrap/>
            <w:vAlign w:val="bottom"/>
          </w:tcPr>
          <w:p w:rsidR="00FC393B" w:rsidRDefault="00FC393B" w:rsidP="001E366B">
            <w:pPr>
              <w:spacing w:after="0" w:line="240" w:lineRule="auto"/>
              <w:jc w:val="center"/>
              <w:rPr>
                <w:rFonts w:ascii="Times New Roman" w:hAnsi="Times New Roman"/>
                <w:bCs/>
                <w:color w:val="000000"/>
                <w:sz w:val="20"/>
                <w:szCs w:val="20"/>
                <w:lang w:val="en-US"/>
              </w:rPr>
            </w:pPr>
          </w:p>
          <w:p w:rsidR="00727420" w:rsidRPr="002333D6" w:rsidRDefault="00727420" w:rsidP="001E366B">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108</w:t>
            </w:r>
          </w:p>
          <w:p w:rsidR="00727420" w:rsidRPr="002333D6" w:rsidRDefault="00727420" w:rsidP="001E366B">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36</w:t>
            </w:r>
          </w:p>
        </w:tc>
        <w:tc>
          <w:tcPr>
            <w:tcW w:w="851" w:type="dxa"/>
            <w:tcBorders>
              <w:top w:val="nil"/>
              <w:bottom w:val="nil"/>
            </w:tcBorders>
            <w:shd w:val="clear" w:color="auto" w:fill="auto"/>
            <w:noWrap/>
            <w:vAlign w:val="bottom"/>
          </w:tcPr>
          <w:p w:rsidR="00FC393B" w:rsidRDefault="00FC393B" w:rsidP="001E366B">
            <w:pPr>
              <w:spacing w:after="0" w:line="240" w:lineRule="auto"/>
              <w:jc w:val="center"/>
              <w:rPr>
                <w:rFonts w:ascii="Times New Roman" w:hAnsi="Times New Roman"/>
                <w:bCs/>
                <w:color w:val="000000"/>
                <w:sz w:val="20"/>
                <w:szCs w:val="20"/>
                <w:lang w:val="en-US"/>
              </w:rPr>
            </w:pPr>
          </w:p>
          <w:p w:rsidR="00727420" w:rsidRPr="002333D6" w:rsidRDefault="00727420" w:rsidP="001E366B">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56.0</w:t>
            </w:r>
          </w:p>
          <w:p w:rsidR="00727420" w:rsidRPr="002333D6" w:rsidRDefault="00727420" w:rsidP="001E366B">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41.4</w:t>
            </w:r>
          </w:p>
        </w:tc>
        <w:tc>
          <w:tcPr>
            <w:tcW w:w="708" w:type="dxa"/>
            <w:tcBorders>
              <w:top w:val="nil"/>
              <w:bottom w:val="nil"/>
            </w:tcBorders>
            <w:shd w:val="clear" w:color="auto" w:fill="auto"/>
            <w:noWrap/>
            <w:vAlign w:val="bottom"/>
          </w:tcPr>
          <w:p w:rsidR="00FC393B" w:rsidRDefault="00FC393B" w:rsidP="001E366B">
            <w:pPr>
              <w:spacing w:after="0" w:line="240" w:lineRule="auto"/>
              <w:jc w:val="center"/>
              <w:rPr>
                <w:rFonts w:ascii="Times New Roman" w:hAnsi="Times New Roman"/>
                <w:bCs/>
                <w:color w:val="000000"/>
                <w:sz w:val="20"/>
                <w:szCs w:val="20"/>
                <w:lang w:val="en-US"/>
              </w:rPr>
            </w:pPr>
          </w:p>
          <w:p w:rsidR="00727420" w:rsidRPr="002333D6" w:rsidRDefault="00727420" w:rsidP="001E366B">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85</w:t>
            </w:r>
          </w:p>
          <w:p w:rsidR="00727420" w:rsidRPr="002333D6" w:rsidRDefault="00727420" w:rsidP="001E366B">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51</w:t>
            </w:r>
          </w:p>
        </w:tc>
        <w:tc>
          <w:tcPr>
            <w:tcW w:w="851" w:type="dxa"/>
            <w:tcBorders>
              <w:top w:val="nil"/>
              <w:bottom w:val="nil"/>
            </w:tcBorders>
            <w:shd w:val="clear" w:color="auto" w:fill="auto"/>
            <w:noWrap/>
            <w:vAlign w:val="bottom"/>
          </w:tcPr>
          <w:p w:rsidR="00FC393B" w:rsidRDefault="00FC393B" w:rsidP="003660CF">
            <w:pPr>
              <w:spacing w:after="0" w:line="240" w:lineRule="auto"/>
              <w:jc w:val="center"/>
              <w:rPr>
                <w:rFonts w:ascii="Times New Roman" w:hAnsi="Times New Roman"/>
                <w:bCs/>
                <w:color w:val="000000"/>
                <w:sz w:val="20"/>
                <w:szCs w:val="20"/>
                <w:lang w:val="en-US"/>
              </w:rPr>
            </w:pPr>
          </w:p>
          <w:p w:rsidR="00727420" w:rsidRPr="002333D6" w:rsidRDefault="00727420" w:rsidP="003660CF">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44.0</w:t>
            </w:r>
          </w:p>
          <w:p w:rsidR="00727420" w:rsidRPr="002333D6" w:rsidRDefault="00727420" w:rsidP="003660CF">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58.6</w:t>
            </w:r>
          </w:p>
        </w:tc>
        <w:tc>
          <w:tcPr>
            <w:tcW w:w="960" w:type="dxa"/>
            <w:tcBorders>
              <w:top w:val="nil"/>
              <w:bottom w:val="nil"/>
            </w:tcBorders>
          </w:tcPr>
          <w:p w:rsidR="00727420" w:rsidRPr="002333D6" w:rsidRDefault="00727420" w:rsidP="002333D6">
            <w:pPr>
              <w:spacing w:after="0" w:line="240" w:lineRule="auto"/>
              <w:rPr>
                <w:rFonts w:ascii="Times New Roman" w:hAnsi="Times New Roman"/>
                <w:bCs/>
                <w:iCs/>
                <w:color w:val="000000"/>
                <w:sz w:val="20"/>
                <w:szCs w:val="20"/>
                <w:lang w:val="en-US"/>
              </w:rPr>
            </w:pPr>
            <w:r w:rsidRPr="002333D6">
              <w:rPr>
                <w:rFonts w:ascii="Times New Roman" w:hAnsi="Times New Roman"/>
                <w:bCs/>
                <w:iCs/>
                <w:color w:val="000000"/>
                <w:sz w:val="20"/>
                <w:szCs w:val="20"/>
                <w:lang w:val="en-US"/>
              </w:rPr>
              <w:t>0.024</w:t>
            </w:r>
          </w:p>
        </w:tc>
        <w:tc>
          <w:tcPr>
            <w:tcW w:w="730" w:type="dxa"/>
            <w:tcBorders>
              <w:top w:val="nil"/>
              <w:bottom w:val="nil"/>
            </w:tcBorders>
          </w:tcPr>
          <w:p w:rsidR="00727420" w:rsidRPr="002333D6" w:rsidRDefault="00727420" w:rsidP="001E366B">
            <w:pPr>
              <w:spacing w:after="0" w:line="240" w:lineRule="auto"/>
              <w:rPr>
                <w:rFonts w:ascii="Times New Roman" w:hAnsi="Times New Roman"/>
                <w:bCs/>
                <w:iCs/>
                <w:color w:val="000000"/>
                <w:sz w:val="20"/>
                <w:szCs w:val="20"/>
              </w:rPr>
            </w:pPr>
          </w:p>
          <w:p w:rsidR="007D2D15" w:rsidRPr="002333D6" w:rsidRDefault="007D2D15" w:rsidP="001E366B">
            <w:pPr>
              <w:spacing w:after="0" w:line="240" w:lineRule="auto"/>
              <w:rPr>
                <w:rFonts w:ascii="Times New Roman" w:hAnsi="Times New Roman"/>
                <w:bCs/>
                <w:iCs/>
                <w:color w:val="000000"/>
                <w:sz w:val="20"/>
                <w:szCs w:val="20"/>
                <w:lang w:val="en-US"/>
              </w:rPr>
            </w:pPr>
            <w:r w:rsidRPr="002333D6">
              <w:rPr>
                <w:rFonts w:ascii="Times New Roman" w:hAnsi="Times New Roman"/>
                <w:bCs/>
                <w:iCs/>
                <w:color w:val="000000"/>
                <w:sz w:val="20"/>
                <w:szCs w:val="20"/>
                <w:lang w:val="en-US"/>
              </w:rPr>
              <w:t>1.8</w:t>
            </w:r>
          </w:p>
        </w:tc>
        <w:tc>
          <w:tcPr>
            <w:tcW w:w="1260" w:type="dxa"/>
            <w:tcBorders>
              <w:top w:val="nil"/>
              <w:bottom w:val="nil"/>
            </w:tcBorders>
          </w:tcPr>
          <w:p w:rsidR="00727420" w:rsidRPr="002333D6" w:rsidRDefault="00727420" w:rsidP="001E366B">
            <w:pPr>
              <w:spacing w:after="0" w:line="240" w:lineRule="auto"/>
              <w:rPr>
                <w:rFonts w:ascii="Times New Roman" w:hAnsi="Times New Roman"/>
                <w:bCs/>
                <w:iCs/>
                <w:color w:val="000000"/>
                <w:sz w:val="20"/>
                <w:szCs w:val="20"/>
              </w:rPr>
            </w:pPr>
          </w:p>
          <w:p w:rsidR="007D2D15" w:rsidRPr="002333D6" w:rsidRDefault="007D2D15" w:rsidP="001E366B">
            <w:pPr>
              <w:spacing w:after="0" w:line="240" w:lineRule="auto"/>
              <w:rPr>
                <w:rFonts w:ascii="Times New Roman" w:hAnsi="Times New Roman"/>
                <w:bCs/>
                <w:iCs/>
                <w:color w:val="000000"/>
                <w:sz w:val="20"/>
                <w:szCs w:val="20"/>
                <w:lang w:val="en-US"/>
              </w:rPr>
            </w:pPr>
            <w:r w:rsidRPr="002333D6">
              <w:rPr>
                <w:rFonts w:ascii="Times New Roman" w:hAnsi="Times New Roman"/>
                <w:bCs/>
                <w:iCs/>
                <w:color w:val="000000"/>
                <w:sz w:val="20"/>
                <w:szCs w:val="20"/>
                <w:lang w:val="en-US"/>
              </w:rPr>
              <w:t>1.07-3.01</w:t>
            </w:r>
          </w:p>
        </w:tc>
      </w:tr>
      <w:tr w:rsidR="00727420" w:rsidRPr="002333D6" w:rsidTr="00217DD7">
        <w:trPr>
          <w:trHeight w:val="315"/>
        </w:trPr>
        <w:tc>
          <w:tcPr>
            <w:tcW w:w="2629" w:type="dxa"/>
            <w:tcBorders>
              <w:top w:val="nil"/>
              <w:bottom w:val="nil"/>
            </w:tcBorders>
            <w:vAlign w:val="center"/>
          </w:tcPr>
          <w:p w:rsidR="00727420" w:rsidRPr="002333D6" w:rsidRDefault="00727420" w:rsidP="00727420">
            <w:pPr>
              <w:spacing w:after="0" w:line="240" w:lineRule="auto"/>
              <w:rPr>
                <w:rFonts w:ascii="Times New Roman" w:hAnsi="Times New Roman"/>
                <w:b/>
                <w:bCs/>
                <w:color w:val="000000"/>
                <w:sz w:val="20"/>
                <w:szCs w:val="20"/>
                <w:lang w:val="en-US"/>
              </w:rPr>
            </w:pPr>
            <w:r w:rsidRPr="002333D6">
              <w:rPr>
                <w:rFonts w:ascii="Times New Roman" w:hAnsi="Times New Roman"/>
                <w:b/>
                <w:bCs/>
                <w:color w:val="000000"/>
                <w:sz w:val="20"/>
                <w:szCs w:val="20"/>
                <w:lang w:val="en-US"/>
              </w:rPr>
              <w:t>Jenis Kelamin</w:t>
            </w:r>
          </w:p>
          <w:p w:rsidR="00727420" w:rsidRPr="002333D6" w:rsidRDefault="00727420" w:rsidP="00727420">
            <w:pPr>
              <w:spacing w:after="0" w:line="240" w:lineRule="auto"/>
              <w:rPr>
                <w:rFonts w:ascii="Times New Roman" w:hAnsi="Times New Roman"/>
                <w:bCs/>
                <w:color w:val="000000"/>
                <w:sz w:val="20"/>
                <w:szCs w:val="20"/>
                <w:lang w:val="en-US"/>
              </w:rPr>
            </w:pPr>
            <w:r w:rsidRPr="002333D6">
              <w:rPr>
                <w:rFonts w:ascii="Times New Roman" w:hAnsi="Times New Roman"/>
                <w:bCs/>
                <w:color w:val="000000"/>
                <w:sz w:val="20"/>
                <w:szCs w:val="20"/>
                <w:lang w:val="en-US"/>
              </w:rPr>
              <w:t>Perempuan</w:t>
            </w:r>
          </w:p>
          <w:p w:rsidR="00727420" w:rsidRPr="002333D6" w:rsidRDefault="00727420" w:rsidP="00727420">
            <w:pPr>
              <w:spacing w:after="0" w:line="240" w:lineRule="auto"/>
              <w:rPr>
                <w:rFonts w:ascii="Times New Roman" w:hAnsi="Times New Roman"/>
                <w:b/>
                <w:bCs/>
                <w:color w:val="000000"/>
                <w:sz w:val="20"/>
                <w:szCs w:val="20"/>
                <w:lang w:val="en-US"/>
              </w:rPr>
            </w:pPr>
            <w:r w:rsidRPr="002333D6">
              <w:rPr>
                <w:rFonts w:ascii="Times New Roman" w:hAnsi="Times New Roman"/>
                <w:bCs/>
                <w:color w:val="000000"/>
                <w:sz w:val="20"/>
                <w:szCs w:val="20"/>
                <w:lang w:val="en-US"/>
              </w:rPr>
              <w:t>Laki-laki</w:t>
            </w:r>
            <w:r w:rsidRPr="002333D6">
              <w:rPr>
                <w:rFonts w:ascii="Times New Roman" w:hAnsi="Times New Roman"/>
                <w:bCs/>
                <w:color w:val="000000"/>
                <w:sz w:val="20"/>
                <w:szCs w:val="20"/>
                <w:vertAlign w:val="superscript"/>
                <w:lang w:val="en-US"/>
              </w:rPr>
              <w:t>Ref</w:t>
            </w:r>
          </w:p>
        </w:tc>
        <w:tc>
          <w:tcPr>
            <w:tcW w:w="709" w:type="dxa"/>
            <w:tcBorders>
              <w:top w:val="nil"/>
              <w:bottom w:val="nil"/>
            </w:tcBorders>
            <w:shd w:val="clear" w:color="auto" w:fill="auto"/>
            <w:noWrap/>
            <w:vAlign w:val="bottom"/>
          </w:tcPr>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126</w:t>
            </w:r>
          </w:p>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18</w:t>
            </w:r>
          </w:p>
        </w:tc>
        <w:tc>
          <w:tcPr>
            <w:tcW w:w="851" w:type="dxa"/>
            <w:tcBorders>
              <w:top w:val="nil"/>
              <w:bottom w:val="nil"/>
            </w:tcBorders>
            <w:shd w:val="clear" w:color="auto" w:fill="auto"/>
            <w:noWrap/>
            <w:vAlign w:val="bottom"/>
          </w:tcPr>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56.5</w:t>
            </w:r>
          </w:p>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31.6</w:t>
            </w:r>
          </w:p>
        </w:tc>
        <w:tc>
          <w:tcPr>
            <w:tcW w:w="708" w:type="dxa"/>
            <w:tcBorders>
              <w:top w:val="nil"/>
              <w:bottom w:val="nil"/>
            </w:tcBorders>
            <w:shd w:val="clear" w:color="auto" w:fill="auto"/>
            <w:noWrap/>
            <w:vAlign w:val="bottom"/>
          </w:tcPr>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97</w:t>
            </w:r>
          </w:p>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39</w:t>
            </w:r>
          </w:p>
        </w:tc>
        <w:tc>
          <w:tcPr>
            <w:tcW w:w="851" w:type="dxa"/>
            <w:tcBorders>
              <w:top w:val="nil"/>
              <w:bottom w:val="nil"/>
            </w:tcBorders>
            <w:shd w:val="clear" w:color="auto" w:fill="auto"/>
            <w:noWrap/>
            <w:vAlign w:val="bottom"/>
          </w:tcPr>
          <w:p w:rsidR="00727420" w:rsidRPr="002333D6" w:rsidRDefault="00727420" w:rsidP="00727420">
            <w:pPr>
              <w:spacing w:after="0" w:line="240" w:lineRule="auto"/>
              <w:jc w:val="center"/>
              <w:rPr>
                <w:rFonts w:ascii="Times New Roman" w:hAnsi="Times New Roman"/>
                <w:bCs/>
                <w:color w:val="000000"/>
                <w:sz w:val="20"/>
                <w:szCs w:val="20"/>
                <w:lang w:val="en-US"/>
              </w:rPr>
            </w:pPr>
          </w:p>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43.5</w:t>
            </w:r>
          </w:p>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68.4</w:t>
            </w:r>
          </w:p>
        </w:tc>
        <w:tc>
          <w:tcPr>
            <w:tcW w:w="960" w:type="dxa"/>
            <w:tcBorders>
              <w:top w:val="nil"/>
              <w:bottom w:val="nil"/>
            </w:tcBorders>
          </w:tcPr>
          <w:p w:rsidR="00727420" w:rsidRPr="002333D6" w:rsidRDefault="00727420" w:rsidP="002333D6">
            <w:pPr>
              <w:spacing w:after="0" w:line="240" w:lineRule="auto"/>
              <w:rPr>
                <w:rFonts w:ascii="Times New Roman" w:hAnsi="Times New Roman"/>
                <w:bCs/>
                <w:iCs/>
                <w:color w:val="000000"/>
                <w:sz w:val="20"/>
                <w:szCs w:val="20"/>
                <w:lang w:val="en-US"/>
              </w:rPr>
            </w:pPr>
            <w:r w:rsidRPr="002333D6">
              <w:rPr>
                <w:rFonts w:ascii="Times New Roman" w:hAnsi="Times New Roman"/>
                <w:bCs/>
                <w:iCs/>
                <w:color w:val="000000"/>
                <w:sz w:val="20"/>
                <w:szCs w:val="20"/>
                <w:lang w:val="en-US"/>
              </w:rPr>
              <w:t>0.001</w:t>
            </w:r>
          </w:p>
        </w:tc>
        <w:tc>
          <w:tcPr>
            <w:tcW w:w="730" w:type="dxa"/>
            <w:tcBorders>
              <w:top w:val="nil"/>
              <w:bottom w:val="nil"/>
            </w:tcBorders>
          </w:tcPr>
          <w:p w:rsidR="00727420" w:rsidRPr="002333D6" w:rsidRDefault="00727420" w:rsidP="00727420">
            <w:pPr>
              <w:spacing w:after="0" w:line="240" w:lineRule="auto"/>
              <w:rPr>
                <w:rFonts w:ascii="Times New Roman" w:hAnsi="Times New Roman"/>
                <w:bCs/>
                <w:iCs/>
                <w:color w:val="000000"/>
                <w:sz w:val="20"/>
                <w:szCs w:val="20"/>
              </w:rPr>
            </w:pPr>
          </w:p>
          <w:p w:rsidR="00727420" w:rsidRPr="002333D6" w:rsidRDefault="00727420" w:rsidP="00727420">
            <w:pPr>
              <w:spacing w:after="0" w:line="240" w:lineRule="auto"/>
              <w:rPr>
                <w:rFonts w:ascii="Times New Roman" w:hAnsi="Times New Roman"/>
                <w:bCs/>
                <w:iCs/>
                <w:color w:val="000000"/>
                <w:sz w:val="20"/>
                <w:szCs w:val="20"/>
                <w:lang w:val="en-US"/>
              </w:rPr>
            </w:pPr>
            <w:r w:rsidRPr="002333D6">
              <w:rPr>
                <w:rFonts w:ascii="Times New Roman" w:hAnsi="Times New Roman"/>
                <w:bCs/>
                <w:iCs/>
                <w:color w:val="000000"/>
                <w:sz w:val="20"/>
                <w:szCs w:val="20"/>
                <w:lang w:val="en-US"/>
              </w:rPr>
              <w:t>2.8</w:t>
            </w:r>
          </w:p>
        </w:tc>
        <w:tc>
          <w:tcPr>
            <w:tcW w:w="1260" w:type="dxa"/>
            <w:tcBorders>
              <w:top w:val="nil"/>
              <w:bottom w:val="nil"/>
            </w:tcBorders>
          </w:tcPr>
          <w:p w:rsidR="00727420" w:rsidRPr="002333D6" w:rsidRDefault="00727420" w:rsidP="00727420">
            <w:pPr>
              <w:spacing w:after="0" w:line="240" w:lineRule="auto"/>
              <w:rPr>
                <w:rFonts w:ascii="Times New Roman" w:hAnsi="Times New Roman"/>
                <w:bCs/>
                <w:iCs/>
                <w:color w:val="000000"/>
                <w:sz w:val="20"/>
                <w:szCs w:val="20"/>
              </w:rPr>
            </w:pPr>
          </w:p>
          <w:p w:rsidR="00727420" w:rsidRPr="002333D6" w:rsidRDefault="00727420" w:rsidP="00727420">
            <w:pPr>
              <w:spacing w:after="0" w:line="240" w:lineRule="auto"/>
              <w:rPr>
                <w:rFonts w:ascii="Times New Roman" w:hAnsi="Times New Roman"/>
                <w:bCs/>
                <w:iCs/>
                <w:color w:val="000000"/>
                <w:sz w:val="20"/>
                <w:szCs w:val="20"/>
                <w:lang w:val="en-US"/>
              </w:rPr>
            </w:pPr>
            <w:r w:rsidRPr="002333D6">
              <w:rPr>
                <w:rFonts w:ascii="Times New Roman" w:hAnsi="Times New Roman"/>
                <w:bCs/>
                <w:iCs/>
                <w:color w:val="000000"/>
                <w:sz w:val="20"/>
                <w:szCs w:val="20"/>
                <w:lang w:val="en-US"/>
              </w:rPr>
              <w:t>1.51-5.22</w:t>
            </w:r>
          </w:p>
        </w:tc>
      </w:tr>
      <w:tr w:rsidR="00727420" w:rsidRPr="002333D6" w:rsidTr="00217DD7">
        <w:trPr>
          <w:trHeight w:val="315"/>
        </w:trPr>
        <w:tc>
          <w:tcPr>
            <w:tcW w:w="2629" w:type="dxa"/>
            <w:tcBorders>
              <w:top w:val="nil"/>
              <w:bottom w:val="single" w:sz="4" w:space="0" w:color="auto"/>
            </w:tcBorders>
            <w:vAlign w:val="center"/>
          </w:tcPr>
          <w:p w:rsidR="00727420" w:rsidRPr="002333D6" w:rsidRDefault="00727420" w:rsidP="00727420">
            <w:pPr>
              <w:spacing w:after="0" w:line="240" w:lineRule="auto"/>
              <w:rPr>
                <w:rFonts w:ascii="Times New Roman" w:hAnsi="Times New Roman"/>
                <w:b/>
                <w:bCs/>
                <w:color w:val="000000"/>
                <w:sz w:val="20"/>
                <w:szCs w:val="20"/>
                <w:lang w:val="en-US"/>
              </w:rPr>
            </w:pPr>
            <w:r w:rsidRPr="002333D6">
              <w:rPr>
                <w:rFonts w:ascii="Times New Roman" w:hAnsi="Times New Roman"/>
                <w:b/>
                <w:bCs/>
                <w:color w:val="000000"/>
                <w:sz w:val="20"/>
                <w:szCs w:val="20"/>
                <w:lang w:val="en-US"/>
              </w:rPr>
              <w:t>Tingkat Penghasilan Orang Tua</w:t>
            </w:r>
          </w:p>
          <w:p w:rsidR="00727420" w:rsidRPr="002333D6" w:rsidRDefault="00727420" w:rsidP="00727420">
            <w:pPr>
              <w:spacing w:after="0" w:line="240" w:lineRule="auto"/>
              <w:rPr>
                <w:rFonts w:ascii="Times New Roman" w:hAnsi="Times New Roman"/>
                <w:bCs/>
                <w:color w:val="000000"/>
                <w:sz w:val="20"/>
                <w:szCs w:val="20"/>
                <w:lang w:val="en-US"/>
              </w:rPr>
            </w:pPr>
            <w:r w:rsidRPr="002333D6">
              <w:rPr>
                <w:rFonts w:ascii="Times New Roman" w:hAnsi="Times New Roman"/>
                <w:bCs/>
                <w:color w:val="000000"/>
                <w:sz w:val="20"/>
                <w:szCs w:val="20"/>
                <w:lang w:val="en-US"/>
              </w:rPr>
              <w:t>Rendah</w:t>
            </w:r>
            <w:r w:rsidRPr="002333D6">
              <w:rPr>
                <w:rFonts w:ascii="Times New Roman" w:hAnsi="Times New Roman"/>
                <w:bCs/>
                <w:color w:val="000000"/>
                <w:sz w:val="20"/>
                <w:szCs w:val="20"/>
                <w:vertAlign w:val="superscript"/>
                <w:lang w:val="en-US"/>
              </w:rPr>
              <w:t>Ref</w:t>
            </w:r>
          </w:p>
          <w:p w:rsidR="00727420" w:rsidRPr="002333D6" w:rsidRDefault="00727420" w:rsidP="00727420">
            <w:pPr>
              <w:spacing w:after="0" w:line="240" w:lineRule="auto"/>
              <w:rPr>
                <w:rFonts w:ascii="Times New Roman" w:hAnsi="Times New Roman"/>
                <w:b/>
                <w:bCs/>
                <w:color w:val="000000"/>
                <w:sz w:val="20"/>
                <w:szCs w:val="20"/>
                <w:lang w:val="en-US"/>
              </w:rPr>
            </w:pPr>
            <w:r w:rsidRPr="002333D6">
              <w:rPr>
                <w:rFonts w:ascii="Times New Roman" w:hAnsi="Times New Roman"/>
                <w:bCs/>
                <w:color w:val="000000"/>
                <w:sz w:val="20"/>
                <w:szCs w:val="20"/>
                <w:lang w:val="en-US"/>
              </w:rPr>
              <w:t>Tinggi</w:t>
            </w:r>
          </w:p>
        </w:tc>
        <w:tc>
          <w:tcPr>
            <w:tcW w:w="709" w:type="dxa"/>
            <w:tcBorders>
              <w:top w:val="nil"/>
              <w:bottom w:val="single" w:sz="4" w:space="0" w:color="auto"/>
            </w:tcBorders>
            <w:shd w:val="clear" w:color="auto" w:fill="auto"/>
            <w:noWrap/>
            <w:vAlign w:val="bottom"/>
          </w:tcPr>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50</w:t>
            </w:r>
          </w:p>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94</w:t>
            </w:r>
          </w:p>
        </w:tc>
        <w:tc>
          <w:tcPr>
            <w:tcW w:w="851" w:type="dxa"/>
            <w:tcBorders>
              <w:top w:val="nil"/>
              <w:bottom w:val="single" w:sz="4" w:space="0" w:color="auto"/>
            </w:tcBorders>
            <w:shd w:val="clear" w:color="auto" w:fill="auto"/>
            <w:noWrap/>
            <w:vAlign w:val="bottom"/>
          </w:tcPr>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48.5</w:t>
            </w:r>
          </w:p>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53.1</w:t>
            </w:r>
          </w:p>
        </w:tc>
        <w:tc>
          <w:tcPr>
            <w:tcW w:w="708" w:type="dxa"/>
            <w:tcBorders>
              <w:top w:val="nil"/>
              <w:bottom w:val="single" w:sz="4" w:space="0" w:color="auto"/>
            </w:tcBorders>
            <w:shd w:val="clear" w:color="auto" w:fill="auto"/>
            <w:noWrap/>
            <w:vAlign w:val="bottom"/>
          </w:tcPr>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53</w:t>
            </w:r>
          </w:p>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83</w:t>
            </w:r>
          </w:p>
        </w:tc>
        <w:tc>
          <w:tcPr>
            <w:tcW w:w="851" w:type="dxa"/>
            <w:tcBorders>
              <w:top w:val="nil"/>
              <w:bottom w:val="single" w:sz="4" w:space="0" w:color="auto"/>
            </w:tcBorders>
            <w:shd w:val="clear" w:color="auto" w:fill="auto"/>
            <w:noWrap/>
            <w:vAlign w:val="bottom"/>
          </w:tcPr>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51.5</w:t>
            </w:r>
          </w:p>
          <w:p w:rsidR="00727420" w:rsidRPr="002333D6" w:rsidRDefault="00727420" w:rsidP="00727420">
            <w:pPr>
              <w:spacing w:after="0" w:line="240" w:lineRule="auto"/>
              <w:jc w:val="center"/>
              <w:rPr>
                <w:rFonts w:ascii="Times New Roman" w:hAnsi="Times New Roman"/>
                <w:bCs/>
                <w:color w:val="000000"/>
                <w:sz w:val="20"/>
                <w:szCs w:val="20"/>
                <w:lang w:val="en-US"/>
              </w:rPr>
            </w:pPr>
            <w:r w:rsidRPr="002333D6">
              <w:rPr>
                <w:rFonts w:ascii="Times New Roman" w:hAnsi="Times New Roman"/>
                <w:bCs/>
                <w:color w:val="000000"/>
                <w:sz w:val="20"/>
                <w:szCs w:val="20"/>
                <w:lang w:val="en-US"/>
              </w:rPr>
              <w:t>46.9</w:t>
            </w:r>
          </w:p>
        </w:tc>
        <w:tc>
          <w:tcPr>
            <w:tcW w:w="960" w:type="dxa"/>
            <w:tcBorders>
              <w:top w:val="nil"/>
              <w:bottom w:val="single" w:sz="4" w:space="0" w:color="auto"/>
            </w:tcBorders>
          </w:tcPr>
          <w:p w:rsidR="00727420" w:rsidRPr="002333D6" w:rsidRDefault="00727420" w:rsidP="002333D6">
            <w:pPr>
              <w:spacing w:after="0" w:line="240" w:lineRule="auto"/>
              <w:rPr>
                <w:rFonts w:ascii="Times New Roman" w:hAnsi="Times New Roman"/>
                <w:bCs/>
                <w:iCs/>
                <w:color w:val="000000"/>
                <w:sz w:val="20"/>
                <w:szCs w:val="20"/>
                <w:lang w:val="en-US"/>
              </w:rPr>
            </w:pPr>
            <w:r w:rsidRPr="002333D6">
              <w:rPr>
                <w:rFonts w:ascii="Times New Roman" w:hAnsi="Times New Roman"/>
                <w:bCs/>
                <w:iCs/>
                <w:color w:val="000000"/>
                <w:sz w:val="20"/>
                <w:szCs w:val="20"/>
                <w:lang w:val="en-US"/>
              </w:rPr>
              <w:t>0.461</w:t>
            </w:r>
          </w:p>
        </w:tc>
        <w:tc>
          <w:tcPr>
            <w:tcW w:w="730" w:type="dxa"/>
            <w:tcBorders>
              <w:top w:val="nil"/>
              <w:bottom w:val="single" w:sz="4" w:space="0" w:color="auto"/>
            </w:tcBorders>
          </w:tcPr>
          <w:p w:rsidR="00727420" w:rsidRPr="002333D6" w:rsidRDefault="00727420" w:rsidP="00727420">
            <w:pPr>
              <w:spacing w:after="0" w:line="240" w:lineRule="auto"/>
              <w:rPr>
                <w:rFonts w:ascii="Times New Roman" w:hAnsi="Times New Roman"/>
                <w:bCs/>
                <w:iCs/>
                <w:color w:val="000000"/>
                <w:sz w:val="20"/>
                <w:szCs w:val="20"/>
              </w:rPr>
            </w:pPr>
          </w:p>
          <w:p w:rsidR="00727420" w:rsidRPr="002333D6" w:rsidRDefault="00727420" w:rsidP="00727420">
            <w:pPr>
              <w:spacing w:after="0" w:line="240" w:lineRule="auto"/>
              <w:rPr>
                <w:rFonts w:ascii="Times New Roman" w:hAnsi="Times New Roman"/>
                <w:bCs/>
                <w:iCs/>
                <w:color w:val="000000"/>
                <w:sz w:val="20"/>
                <w:szCs w:val="20"/>
              </w:rPr>
            </w:pPr>
          </w:p>
          <w:p w:rsidR="00727420" w:rsidRPr="002333D6" w:rsidRDefault="00727420" w:rsidP="00727420">
            <w:pPr>
              <w:spacing w:after="0" w:line="240" w:lineRule="auto"/>
              <w:rPr>
                <w:rFonts w:ascii="Times New Roman" w:hAnsi="Times New Roman"/>
                <w:bCs/>
                <w:iCs/>
                <w:color w:val="000000"/>
                <w:sz w:val="20"/>
                <w:szCs w:val="20"/>
              </w:rPr>
            </w:pPr>
          </w:p>
          <w:p w:rsidR="00727420" w:rsidRPr="002333D6" w:rsidRDefault="00727420" w:rsidP="00727420">
            <w:pPr>
              <w:spacing w:after="0" w:line="240" w:lineRule="auto"/>
              <w:rPr>
                <w:rFonts w:ascii="Times New Roman" w:hAnsi="Times New Roman"/>
                <w:bCs/>
                <w:iCs/>
                <w:color w:val="000000"/>
                <w:sz w:val="20"/>
                <w:szCs w:val="20"/>
                <w:lang w:val="en-US"/>
              </w:rPr>
            </w:pPr>
            <w:r w:rsidRPr="002333D6">
              <w:rPr>
                <w:rFonts w:ascii="Times New Roman" w:hAnsi="Times New Roman"/>
                <w:bCs/>
                <w:iCs/>
                <w:color w:val="000000"/>
                <w:sz w:val="20"/>
                <w:szCs w:val="20"/>
                <w:lang w:val="en-US"/>
              </w:rPr>
              <w:t>1.2</w:t>
            </w:r>
          </w:p>
        </w:tc>
        <w:tc>
          <w:tcPr>
            <w:tcW w:w="1260" w:type="dxa"/>
            <w:tcBorders>
              <w:top w:val="nil"/>
              <w:bottom w:val="single" w:sz="4" w:space="0" w:color="auto"/>
            </w:tcBorders>
          </w:tcPr>
          <w:p w:rsidR="00727420" w:rsidRPr="002333D6" w:rsidRDefault="00727420" w:rsidP="00727420">
            <w:pPr>
              <w:spacing w:after="0" w:line="240" w:lineRule="auto"/>
              <w:rPr>
                <w:rFonts w:ascii="Times New Roman" w:hAnsi="Times New Roman"/>
                <w:bCs/>
                <w:iCs/>
                <w:color w:val="000000"/>
                <w:sz w:val="20"/>
                <w:szCs w:val="20"/>
              </w:rPr>
            </w:pPr>
          </w:p>
          <w:p w:rsidR="00727420" w:rsidRPr="002333D6" w:rsidRDefault="00727420" w:rsidP="00727420">
            <w:pPr>
              <w:spacing w:after="0" w:line="240" w:lineRule="auto"/>
              <w:rPr>
                <w:rFonts w:ascii="Times New Roman" w:hAnsi="Times New Roman"/>
                <w:bCs/>
                <w:iCs/>
                <w:color w:val="000000"/>
                <w:sz w:val="20"/>
                <w:szCs w:val="20"/>
              </w:rPr>
            </w:pPr>
          </w:p>
          <w:p w:rsidR="00727420" w:rsidRPr="002333D6" w:rsidRDefault="00727420" w:rsidP="00727420">
            <w:pPr>
              <w:spacing w:after="0" w:line="240" w:lineRule="auto"/>
              <w:rPr>
                <w:rFonts w:ascii="Times New Roman" w:hAnsi="Times New Roman"/>
                <w:bCs/>
                <w:iCs/>
                <w:color w:val="000000"/>
                <w:sz w:val="20"/>
                <w:szCs w:val="20"/>
              </w:rPr>
            </w:pPr>
          </w:p>
          <w:p w:rsidR="00727420" w:rsidRPr="002333D6" w:rsidRDefault="00727420" w:rsidP="00727420">
            <w:pPr>
              <w:spacing w:after="0" w:line="240" w:lineRule="auto"/>
              <w:rPr>
                <w:rFonts w:ascii="Times New Roman" w:hAnsi="Times New Roman"/>
                <w:bCs/>
                <w:iCs/>
                <w:color w:val="000000"/>
                <w:sz w:val="20"/>
                <w:szCs w:val="20"/>
                <w:lang w:val="en-US"/>
              </w:rPr>
            </w:pPr>
            <w:r w:rsidRPr="002333D6">
              <w:rPr>
                <w:rFonts w:ascii="Times New Roman" w:hAnsi="Times New Roman"/>
                <w:bCs/>
                <w:iCs/>
                <w:color w:val="000000"/>
                <w:sz w:val="20"/>
                <w:szCs w:val="20"/>
                <w:lang w:val="en-US"/>
              </w:rPr>
              <w:t>0.73-1.95</w:t>
            </w:r>
          </w:p>
        </w:tc>
      </w:tr>
    </w:tbl>
    <w:p w:rsidR="003E603A" w:rsidRPr="00FC393B" w:rsidRDefault="00775451" w:rsidP="003E603A">
      <w:pPr>
        <w:spacing w:after="0" w:line="480" w:lineRule="auto"/>
        <w:ind w:firstLine="405"/>
        <w:jc w:val="both"/>
        <w:rPr>
          <w:rFonts w:ascii="Times New Roman" w:hAnsi="Times New Roman"/>
          <w:sz w:val="20"/>
          <w:szCs w:val="20"/>
        </w:rPr>
      </w:pPr>
      <w:r w:rsidRPr="00FC393B">
        <w:rPr>
          <w:rFonts w:ascii="Times New Roman" w:hAnsi="Times New Roman"/>
          <w:sz w:val="20"/>
          <w:szCs w:val="20"/>
        </w:rPr>
        <w:t>Sumber</w:t>
      </w:r>
      <w:r w:rsidR="00FC393B" w:rsidRPr="00FC393B">
        <w:rPr>
          <w:rFonts w:ascii="Times New Roman" w:hAnsi="Times New Roman"/>
          <w:sz w:val="20"/>
          <w:szCs w:val="20"/>
          <w:lang w:val="en-US"/>
        </w:rPr>
        <w:t xml:space="preserve">:Pengolahan </w:t>
      </w:r>
      <w:r w:rsidR="00FC393B" w:rsidRPr="00FC393B">
        <w:rPr>
          <w:rFonts w:ascii="Times New Roman" w:hAnsi="Times New Roman"/>
          <w:sz w:val="20"/>
          <w:szCs w:val="20"/>
        </w:rPr>
        <w:t>Data Primer</w:t>
      </w:r>
    </w:p>
    <w:p w:rsidR="002A00A1" w:rsidRPr="002A00A1" w:rsidRDefault="00535B45" w:rsidP="002A00A1">
      <w:pPr>
        <w:pStyle w:val="firstparagrah"/>
        <w:tabs>
          <w:tab w:val="clear" w:pos="142"/>
          <w:tab w:val="left" w:pos="426"/>
        </w:tabs>
        <w:spacing w:after="240"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Berdasarkan hasil analisis bivariabel</w:t>
      </w:r>
      <w:r w:rsidR="00217DD7">
        <w:rPr>
          <w:rFonts w:ascii="Times New Roman" w:hAnsi="Times New Roman" w:cs="Times New Roman"/>
          <w:sz w:val="24"/>
          <w:szCs w:val="24"/>
          <w:lang w:val="en-US"/>
        </w:rPr>
        <w:t>, variabel</w:t>
      </w:r>
      <w:r>
        <w:rPr>
          <w:rFonts w:ascii="Times New Roman" w:hAnsi="Times New Roman" w:cs="Times New Roman"/>
          <w:sz w:val="24"/>
          <w:szCs w:val="24"/>
          <w:lang w:val="en-US"/>
        </w:rPr>
        <w:t xml:space="preserve"> yang bisa dimasukkan ke</w:t>
      </w:r>
      <w:r w:rsidR="00217DD7">
        <w:rPr>
          <w:rFonts w:ascii="Times New Roman" w:hAnsi="Times New Roman" w:cs="Times New Roman"/>
          <w:sz w:val="24"/>
          <w:szCs w:val="24"/>
          <w:lang w:val="en-US"/>
        </w:rPr>
        <w:t>dalam model regresi logistik adalah variabel</w:t>
      </w:r>
      <w:r>
        <w:rPr>
          <w:rFonts w:ascii="Times New Roman" w:hAnsi="Times New Roman" w:cs="Times New Roman"/>
          <w:sz w:val="24"/>
          <w:szCs w:val="24"/>
          <w:lang w:val="en-US"/>
        </w:rPr>
        <w:t xml:space="preserve"> hambatan kognitif, hambatan psikososial dan jenis kelamin. Kemudian dibangun beberapa model regresi logisti</w:t>
      </w:r>
      <w:r w:rsidR="00217DD7">
        <w:rPr>
          <w:rFonts w:ascii="Times New Roman" w:hAnsi="Times New Roman" w:cs="Times New Roman"/>
          <w:sz w:val="24"/>
          <w:szCs w:val="24"/>
          <w:lang w:val="en-US"/>
        </w:rPr>
        <w:t>k untuk mengamati</w:t>
      </w:r>
      <w:r>
        <w:rPr>
          <w:rFonts w:ascii="Times New Roman" w:hAnsi="Times New Roman" w:cs="Times New Roman"/>
          <w:sz w:val="24"/>
          <w:szCs w:val="24"/>
          <w:lang w:val="en-US"/>
        </w:rPr>
        <w:t xml:space="preserve"> perubahan dari OR </w:t>
      </w:r>
      <w:r w:rsidRPr="00217DD7">
        <w:rPr>
          <w:rFonts w:ascii="Times New Roman" w:hAnsi="Times New Roman" w:cs="Times New Roman"/>
          <w:i/>
          <w:sz w:val="24"/>
          <w:szCs w:val="24"/>
          <w:lang w:val="en-US"/>
        </w:rPr>
        <w:t>Crude</w:t>
      </w:r>
      <w:r w:rsidR="00217DD7">
        <w:rPr>
          <w:rFonts w:ascii="Times New Roman" w:hAnsi="Times New Roman" w:cs="Times New Roman"/>
          <w:sz w:val="24"/>
          <w:szCs w:val="24"/>
          <w:lang w:val="en-US"/>
        </w:rPr>
        <w:t xml:space="preserve"> dan</w:t>
      </w:r>
      <w:r>
        <w:rPr>
          <w:rFonts w:ascii="Times New Roman" w:hAnsi="Times New Roman" w:cs="Times New Roman"/>
          <w:sz w:val="24"/>
          <w:szCs w:val="24"/>
          <w:lang w:val="en-US"/>
        </w:rPr>
        <w:t xml:space="preserve"> OR </w:t>
      </w:r>
      <w:r w:rsidRPr="00217DD7">
        <w:rPr>
          <w:rFonts w:ascii="Times New Roman" w:hAnsi="Times New Roman" w:cs="Times New Roman"/>
          <w:i/>
          <w:sz w:val="24"/>
          <w:szCs w:val="24"/>
          <w:lang w:val="en-US"/>
        </w:rPr>
        <w:t>Adjusted</w:t>
      </w:r>
      <w:r>
        <w:rPr>
          <w:rFonts w:ascii="Times New Roman" w:hAnsi="Times New Roman" w:cs="Times New Roman"/>
          <w:sz w:val="24"/>
          <w:szCs w:val="24"/>
          <w:lang w:val="en-US"/>
        </w:rPr>
        <w:t xml:space="preserve"> pada variable yang teliti. </w:t>
      </w:r>
      <w:r w:rsidR="004C4A94">
        <w:rPr>
          <w:rFonts w:ascii="Times New Roman" w:hAnsi="Times New Roman" w:cs="Times New Roman"/>
          <w:sz w:val="24"/>
          <w:szCs w:val="24"/>
          <w:lang w:val="en-US"/>
        </w:rPr>
        <w:t>Model akhir ditunjukkan pada tabel 3. Model tersebut menunjukkan tidak terdap</w:t>
      </w:r>
      <w:r w:rsidR="00085447">
        <w:rPr>
          <w:rFonts w:ascii="Times New Roman" w:hAnsi="Times New Roman" w:cs="Times New Roman"/>
          <w:sz w:val="24"/>
          <w:szCs w:val="24"/>
          <w:lang w:val="en-US"/>
        </w:rPr>
        <w:t>at perubahan OR yang signifikan</w:t>
      </w:r>
      <w:r w:rsidR="00217DD7">
        <w:rPr>
          <w:rFonts w:ascii="Times New Roman" w:hAnsi="Times New Roman" w:cs="Times New Roman"/>
          <w:sz w:val="24"/>
          <w:szCs w:val="24"/>
          <w:lang w:val="en-US"/>
        </w:rPr>
        <w:t xml:space="preserve"> variabel utama penelitian.</w:t>
      </w:r>
    </w:p>
    <w:p w:rsidR="002D07C9" w:rsidRDefault="004C4A94" w:rsidP="002333D6">
      <w:pPr>
        <w:autoSpaceDE w:val="0"/>
        <w:autoSpaceDN w:val="0"/>
        <w:adjustRightInd w:val="0"/>
        <w:spacing w:after="0" w:line="240" w:lineRule="auto"/>
        <w:jc w:val="center"/>
        <w:rPr>
          <w:rFonts w:ascii="Times New Roman" w:eastAsia="Calibri" w:hAnsi="Times New Roman"/>
        </w:rPr>
      </w:pPr>
      <w:r w:rsidRPr="002333D6">
        <w:rPr>
          <w:rFonts w:ascii="Times New Roman" w:eastAsia="Calibri" w:hAnsi="Times New Roman"/>
        </w:rPr>
        <w:t>Tabel3</w:t>
      </w:r>
      <w:r w:rsidR="002D07C9" w:rsidRPr="002333D6">
        <w:rPr>
          <w:rFonts w:ascii="Times New Roman" w:eastAsia="Calibri" w:hAnsi="Times New Roman"/>
        </w:rPr>
        <w:t>. Hasil Analisis Regresi Logistik Variabel Hambatan Akses Kognitif, Hambatan Akses Psikososial, jenis kelamin terhadap Akses Informasi Kesehatan Reproduksi</w:t>
      </w:r>
    </w:p>
    <w:tbl>
      <w:tblPr>
        <w:tblW w:w="5776" w:type="dxa"/>
        <w:jc w:val="center"/>
        <w:tblBorders>
          <w:top w:val="single" w:sz="4" w:space="0" w:color="auto"/>
          <w:bottom w:val="single" w:sz="4" w:space="0" w:color="auto"/>
          <w:insideH w:val="single" w:sz="4" w:space="0" w:color="auto"/>
        </w:tblBorders>
        <w:tblLook w:val="04A0"/>
      </w:tblPr>
      <w:tblGrid>
        <w:gridCol w:w="2057"/>
        <w:gridCol w:w="633"/>
        <w:gridCol w:w="931"/>
        <w:gridCol w:w="363"/>
        <w:gridCol w:w="494"/>
        <w:gridCol w:w="90"/>
        <w:gridCol w:w="1208"/>
      </w:tblGrid>
      <w:tr w:rsidR="003A009B" w:rsidRPr="00FC393B" w:rsidTr="00B629E7">
        <w:trPr>
          <w:trHeight w:val="220"/>
          <w:jc w:val="center"/>
        </w:trPr>
        <w:tc>
          <w:tcPr>
            <w:tcW w:w="2057" w:type="dxa"/>
            <w:tcBorders>
              <w:bottom w:val="single" w:sz="4" w:space="0" w:color="auto"/>
            </w:tcBorders>
            <w:shd w:val="clear" w:color="auto" w:fill="auto"/>
            <w:noWrap/>
            <w:vAlign w:val="center"/>
            <w:hideMark/>
          </w:tcPr>
          <w:p w:rsidR="003A009B" w:rsidRPr="00FC393B" w:rsidRDefault="003A009B" w:rsidP="00B629E7">
            <w:pPr>
              <w:spacing w:after="0" w:line="240" w:lineRule="auto"/>
              <w:jc w:val="center"/>
              <w:rPr>
                <w:rFonts w:ascii="Times New Roman" w:hAnsi="Times New Roman"/>
                <w:b/>
                <w:bCs/>
                <w:color w:val="000000"/>
                <w:sz w:val="20"/>
                <w:szCs w:val="20"/>
              </w:rPr>
            </w:pPr>
            <w:r w:rsidRPr="00FC393B">
              <w:rPr>
                <w:rFonts w:ascii="Times New Roman" w:hAnsi="Times New Roman"/>
                <w:b/>
                <w:bCs/>
                <w:color w:val="000000"/>
                <w:sz w:val="20"/>
                <w:szCs w:val="20"/>
              </w:rPr>
              <w:t>Variabel</w:t>
            </w:r>
          </w:p>
        </w:tc>
        <w:tc>
          <w:tcPr>
            <w:tcW w:w="1927" w:type="dxa"/>
            <w:gridSpan w:val="3"/>
            <w:tcBorders>
              <w:bottom w:val="single" w:sz="4" w:space="0" w:color="auto"/>
            </w:tcBorders>
            <w:shd w:val="clear" w:color="auto" w:fill="auto"/>
            <w:vAlign w:val="center"/>
          </w:tcPr>
          <w:p w:rsidR="003A009B" w:rsidRPr="00FC393B" w:rsidRDefault="003A009B" w:rsidP="00B629E7">
            <w:pPr>
              <w:spacing w:after="0" w:line="240" w:lineRule="auto"/>
              <w:jc w:val="center"/>
              <w:rPr>
                <w:rFonts w:ascii="Times New Roman" w:hAnsi="Times New Roman"/>
                <w:b/>
                <w:bCs/>
                <w:i/>
                <w:iCs/>
                <w:color w:val="000000"/>
                <w:sz w:val="20"/>
                <w:szCs w:val="20"/>
              </w:rPr>
            </w:pPr>
            <w:r w:rsidRPr="00FC393B">
              <w:rPr>
                <w:rFonts w:ascii="Times New Roman" w:hAnsi="Times New Roman"/>
                <w:b/>
                <w:bCs/>
                <w:i/>
                <w:iCs/>
                <w:color w:val="000000"/>
                <w:sz w:val="20"/>
                <w:szCs w:val="20"/>
              </w:rPr>
              <w:t>p value</w:t>
            </w:r>
          </w:p>
        </w:tc>
        <w:tc>
          <w:tcPr>
            <w:tcW w:w="494" w:type="dxa"/>
            <w:tcBorders>
              <w:bottom w:val="single" w:sz="4" w:space="0" w:color="auto"/>
            </w:tcBorders>
            <w:shd w:val="clear" w:color="auto" w:fill="auto"/>
            <w:vAlign w:val="center"/>
          </w:tcPr>
          <w:p w:rsidR="003A009B" w:rsidRPr="00FC393B" w:rsidRDefault="003A009B" w:rsidP="00B629E7">
            <w:pPr>
              <w:spacing w:after="0" w:line="240" w:lineRule="auto"/>
              <w:jc w:val="center"/>
              <w:rPr>
                <w:rFonts w:ascii="Times New Roman" w:hAnsi="Times New Roman"/>
                <w:b/>
                <w:bCs/>
                <w:i/>
                <w:iCs/>
                <w:color w:val="000000"/>
                <w:sz w:val="20"/>
                <w:szCs w:val="20"/>
                <w:lang w:val="en-US"/>
              </w:rPr>
            </w:pPr>
            <w:r w:rsidRPr="00FC393B">
              <w:rPr>
                <w:rFonts w:ascii="Times New Roman" w:hAnsi="Times New Roman"/>
                <w:b/>
                <w:bCs/>
                <w:i/>
                <w:iCs/>
                <w:color w:val="000000"/>
                <w:sz w:val="20"/>
                <w:szCs w:val="20"/>
                <w:lang w:val="en-US"/>
              </w:rPr>
              <w:t>OR</w:t>
            </w:r>
          </w:p>
        </w:tc>
        <w:tc>
          <w:tcPr>
            <w:tcW w:w="1298" w:type="dxa"/>
            <w:gridSpan w:val="2"/>
            <w:tcBorders>
              <w:bottom w:val="single" w:sz="4" w:space="0" w:color="auto"/>
            </w:tcBorders>
            <w:shd w:val="clear" w:color="auto" w:fill="auto"/>
            <w:vAlign w:val="center"/>
          </w:tcPr>
          <w:p w:rsidR="003A009B" w:rsidRPr="00FC393B" w:rsidRDefault="003A009B" w:rsidP="00B629E7">
            <w:pPr>
              <w:spacing w:after="0" w:line="240" w:lineRule="auto"/>
              <w:jc w:val="center"/>
              <w:rPr>
                <w:rFonts w:ascii="Times New Roman" w:hAnsi="Times New Roman"/>
                <w:b/>
                <w:bCs/>
                <w:i/>
                <w:iCs/>
                <w:color w:val="000000"/>
                <w:sz w:val="20"/>
                <w:szCs w:val="20"/>
                <w:lang w:val="en-US"/>
              </w:rPr>
            </w:pPr>
            <w:r w:rsidRPr="00FC393B">
              <w:rPr>
                <w:rFonts w:ascii="Times New Roman" w:hAnsi="Times New Roman"/>
                <w:b/>
                <w:bCs/>
                <w:i/>
                <w:iCs/>
                <w:color w:val="000000"/>
                <w:sz w:val="20"/>
                <w:szCs w:val="20"/>
                <w:lang w:val="en-US"/>
              </w:rPr>
              <w:t>CI 95%</w:t>
            </w:r>
          </w:p>
        </w:tc>
      </w:tr>
      <w:tr w:rsidR="003A009B" w:rsidRPr="00FC393B" w:rsidTr="00B629E7">
        <w:trPr>
          <w:trHeight w:val="315"/>
          <w:jc w:val="center"/>
        </w:trPr>
        <w:tc>
          <w:tcPr>
            <w:tcW w:w="2690" w:type="dxa"/>
            <w:gridSpan w:val="2"/>
            <w:tcBorders>
              <w:top w:val="single" w:sz="4" w:space="0" w:color="auto"/>
              <w:bottom w:val="nil"/>
            </w:tcBorders>
            <w:vAlign w:val="center"/>
          </w:tcPr>
          <w:p w:rsidR="003A009B" w:rsidRPr="00FC393B" w:rsidRDefault="003A009B" w:rsidP="00B629E7">
            <w:pPr>
              <w:spacing w:after="0" w:line="240" w:lineRule="auto"/>
              <w:rPr>
                <w:rFonts w:ascii="Times New Roman" w:hAnsi="Times New Roman"/>
                <w:b/>
                <w:bCs/>
                <w:color w:val="000000"/>
                <w:sz w:val="20"/>
                <w:szCs w:val="20"/>
                <w:lang w:val="en-US"/>
              </w:rPr>
            </w:pPr>
            <w:r w:rsidRPr="00FC393B">
              <w:rPr>
                <w:rFonts w:ascii="Times New Roman" w:hAnsi="Times New Roman"/>
                <w:b/>
                <w:bCs/>
                <w:color w:val="000000"/>
                <w:sz w:val="20"/>
                <w:szCs w:val="20"/>
                <w:lang w:val="en-US"/>
              </w:rPr>
              <w:t>Hambatan Akses kognitif</w:t>
            </w:r>
          </w:p>
          <w:p w:rsidR="003A009B" w:rsidRPr="00FC393B" w:rsidRDefault="003A009B" w:rsidP="00B629E7">
            <w:pPr>
              <w:spacing w:after="0" w:line="240" w:lineRule="auto"/>
              <w:rPr>
                <w:rFonts w:ascii="Times New Roman" w:hAnsi="Times New Roman"/>
                <w:bCs/>
                <w:color w:val="000000"/>
                <w:sz w:val="20"/>
                <w:szCs w:val="20"/>
                <w:lang w:val="en-US"/>
              </w:rPr>
            </w:pPr>
            <w:r w:rsidRPr="00FC393B">
              <w:rPr>
                <w:rFonts w:ascii="Times New Roman" w:hAnsi="Times New Roman"/>
                <w:bCs/>
                <w:color w:val="000000"/>
                <w:sz w:val="20"/>
                <w:szCs w:val="20"/>
                <w:lang w:val="en-US"/>
              </w:rPr>
              <w:t>Tidak mengalami</w:t>
            </w:r>
          </w:p>
          <w:p w:rsidR="003A009B" w:rsidRPr="00FC393B" w:rsidRDefault="003A009B" w:rsidP="00B629E7">
            <w:pPr>
              <w:spacing w:after="0" w:line="240" w:lineRule="auto"/>
              <w:rPr>
                <w:rFonts w:ascii="Times New Roman" w:hAnsi="Times New Roman"/>
                <w:b/>
                <w:bCs/>
                <w:color w:val="000000"/>
                <w:sz w:val="20"/>
                <w:szCs w:val="20"/>
                <w:lang w:val="en-US"/>
              </w:rPr>
            </w:pPr>
            <w:r w:rsidRPr="00FC393B">
              <w:rPr>
                <w:rFonts w:ascii="Times New Roman" w:hAnsi="Times New Roman"/>
                <w:bCs/>
                <w:color w:val="000000"/>
                <w:sz w:val="20"/>
                <w:szCs w:val="20"/>
                <w:lang w:val="en-US"/>
              </w:rPr>
              <w:t>Mengalami</w:t>
            </w:r>
            <w:r w:rsidRPr="00FC393B">
              <w:rPr>
                <w:rFonts w:ascii="Times New Roman" w:hAnsi="Times New Roman"/>
                <w:bCs/>
                <w:color w:val="000000"/>
                <w:sz w:val="20"/>
                <w:szCs w:val="20"/>
                <w:vertAlign w:val="superscript"/>
                <w:lang w:val="en-US"/>
              </w:rPr>
              <w:t>Ref</w:t>
            </w:r>
          </w:p>
        </w:tc>
        <w:tc>
          <w:tcPr>
            <w:tcW w:w="931" w:type="dxa"/>
            <w:tcBorders>
              <w:top w:val="single" w:sz="4" w:space="0" w:color="auto"/>
              <w:bottom w:val="nil"/>
            </w:tcBorders>
          </w:tcPr>
          <w:p w:rsidR="003A009B" w:rsidRPr="00FC393B" w:rsidRDefault="003A009B" w:rsidP="00B629E7">
            <w:pPr>
              <w:spacing w:after="0" w:line="240" w:lineRule="auto"/>
              <w:rPr>
                <w:rFonts w:ascii="Times New Roman" w:hAnsi="Times New Roman"/>
                <w:bCs/>
                <w:iCs/>
                <w:color w:val="000000"/>
                <w:sz w:val="20"/>
                <w:szCs w:val="20"/>
                <w:lang w:val="en-US"/>
              </w:rPr>
            </w:pPr>
            <w:r w:rsidRPr="00FC393B">
              <w:rPr>
                <w:rFonts w:ascii="Times New Roman" w:hAnsi="Times New Roman"/>
                <w:bCs/>
                <w:iCs/>
                <w:color w:val="000000"/>
                <w:sz w:val="20"/>
                <w:szCs w:val="20"/>
                <w:lang w:val="en-US"/>
              </w:rPr>
              <w:t>0.018</w:t>
            </w:r>
          </w:p>
        </w:tc>
        <w:tc>
          <w:tcPr>
            <w:tcW w:w="947" w:type="dxa"/>
            <w:gridSpan w:val="3"/>
            <w:tcBorders>
              <w:top w:val="single" w:sz="4" w:space="0" w:color="auto"/>
              <w:bottom w:val="nil"/>
            </w:tcBorders>
          </w:tcPr>
          <w:p w:rsidR="003A009B" w:rsidRPr="00FC393B" w:rsidRDefault="003A009B" w:rsidP="00B629E7">
            <w:pPr>
              <w:spacing w:after="0" w:line="240" w:lineRule="auto"/>
              <w:rPr>
                <w:rFonts w:ascii="Times New Roman" w:hAnsi="Times New Roman"/>
                <w:bCs/>
                <w:iCs/>
                <w:color w:val="000000"/>
                <w:sz w:val="20"/>
                <w:szCs w:val="20"/>
              </w:rPr>
            </w:pPr>
          </w:p>
          <w:p w:rsidR="003A009B" w:rsidRPr="00FC393B" w:rsidRDefault="003A009B" w:rsidP="00B629E7">
            <w:pPr>
              <w:spacing w:after="0" w:line="240" w:lineRule="auto"/>
              <w:rPr>
                <w:rFonts w:ascii="Times New Roman" w:hAnsi="Times New Roman"/>
                <w:bCs/>
                <w:iCs/>
                <w:color w:val="000000"/>
                <w:sz w:val="20"/>
                <w:szCs w:val="20"/>
                <w:lang w:val="en-US"/>
              </w:rPr>
            </w:pPr>
            <w:r w:rsidRPr="00FC393B">
              <w:rPr>
                <w:rFonts w:ascii="Times New Roman" w:hAnsi="Times New Roman"/>
                <w:bCs/>
                <w:iCs/>
                <w:color w:val="000000"/>
                <w:sz w:val="20"/>
                <w:szCs w:val="20"/>
                <w:lang w:val="en-US"/>
              </w:rPr>
              <w:t>1.83</w:t>
            </w:r>
          </w:p>
          <w:p w:rsidR="003A009B" w:rsidRPr="00FC393B" w:rsidRDefault="003A009B" w:rsidP="00B629E7">
            <w:pPr>
              <w:spacing w:after="0" w:line="240" w:lineRule="auto"/>
              <w:rPr>
                <w:rFonts w:ascii="Times New Roman" w:hAnsi="Times New Roman"/>
                <w:bCs/>
                <w:iCs/>
                <w:color w:val="000000"/>
                <w:sz w:val="20"/>
                <w:szCs w:val="20"/>
                <w:lang w:val="en-US"/>
              </w:rPr>
            </w:pPr>
          </w:p>
        </w:tc>
        <w:tc>
          <w:tcPr>
            <w:tcW w:w="1208" w:type="dxa"/>
            <w:tcBorders>
              <w:top w:val="single" w:sz="4" w:space="0" w:color="auto"/>
              <w:bottom w:val="nil"/>
            </w:tcBorders>
          </w:tcPr>
          <w:p w:rsidR="003A009B" w:rsidRPr="00FC393B" w:rsidRDefault="003A009B" w:rsidP="00B629E7">
            <w:pPr>
              <w:spacing w:after="0" w:line="240" w:lineRule="auto"/>
              <w:rPr>
                <w:rFonts w:ascii="Times New Roman" w:hAnsi="Times New Roman"/>
                <w:bCs/>
                <w:iCs/>
                <w:color w:val="000000"/>
                <w:sz w:val="20"/>
                <w:szCs w:val="20"/>
              </w:rPr>
            </w:pPr>
          </w:p>
          <w:p w:rsidR="003A009B" w:rsidRPr="00FC393B" w:rsidRDefault="003A009B" w:rsidP="00B629E7">
            <w:pPr>
              <w:spacing w:after="0" w:line="240" w:lineRule="auto"/>
              <w:rPr>
                <w:rFonts w:ascii="Times New Roman" w:hAnsi="Times New Roman"/>
                <w:bCs/>
                <w:iCs/>
                <w:color w:val="000000"/>
                <w:sz w:val="20"/>
                <w:szCs w:val="20"/>
                <w:lang w:val="en-US"/>
              </w:rPr>
            </w:pPr>
            <w:r w:rsidRPr="00FC393B">
              <w:rPr>
                <w:rFonts w:ascii="Times New Roman" w:hAnsi="Times New Roman"/>
                <w:bCs/>
                <w:iCs/>
                <w:color w:val="000000"/>
                <w:sz w:val="20"/>
                <w:szCs w:val="20"/>
                <w:lang w:val="en-US"/>
              </w:rPr>
              <w:t>1.11-3.02</w:t>
            </w:r>
          </w:p>
        </w:tc>
      </w:tr>
      <w:tr w:rsidR="003A009B" w:rsidRPr="00FC393B" w:rsidTr="00B629E7">
        <w:trPr>
          <w:trHeight w:val="315"/>
          <w:jc w:val="center"/>
        </w:trPr>
        <w:tc>
          <w:tcPr>
            <w:tcW w:w="2690" w:type="dxa"/>
            <w:gridSpan w:val="2"/>
            <w:tcBorders>
              <w:top w:val="nil"/>
              <w:bottom w:val="nil"/>
            </w:tcBorders>
            <w:vAlign w:val="center"/>
          </w:tcPr>
          <w:p w:rsidR="003A009B" w:rsidRPr="00FC393B" w:rsidRDefault="003A009B" w:rsidP="00B629E7">
            <w:pPr>
              <w:spacing w:after="0" w:line="240" w:lineRule="auto"/>
              <w:rPr>
                <w:rFonts w:ascii="Times New Roman" w:hAnsi="Times New Roman"/>
                <w:b/>
                <w:bCs/>
                <w:color w:val="000000"/>
                <w:sz w:val="20"/>
                <w:szCs w:val="20"/>
                <w:lang w:val="en-US"/>
              </w:rPr>
            </w:pPr>
            <w:r w:rsidRPr="00FC393B">
              <w:rPr>
                <w:rFonts w:ascii="Times New Roman" w:hAnsi="Times New Roman"/>
                <w:b/>
                <w:bCs/>
                <w:color w:val="000000"/>
                <w:sz w:val="20"/>
                <w:szCs w:val="20"/>
                <w:lang w:val="en-US"/>
              </w:rPr>
              <w:t>Hambatan Akses Psikosial</w:t>
            </w:r>
          </w:p>
          <w:p w:rsidR="003A009B" w:rsidRPr="00FC393B" w:rsidRDefault="003A009B" w:rsidP="00B629E7">
            <w:pPr>
              <w:spacing w:after="0" w:line="240" w:lineRule="auto"/>
              <w:rPr>
                <w:rFonts w:ascii="Times New Roman" w:hAnsi="Times New Roman"/>
                <w:bCs/>
                <w:color w:val="000000"/>
                <w:sz w:val="20"/>
                <w:szCs w:val="20"/>
                <w:lang w:val="en-US"/>
              </w:rPr>
            </w:pPr>
            <w:r w:rsidRPr="00FC393B">
              <w:rPr>
                <w:rFonts w:ascii="Times New Roman" w:hAnsi="Times New Roman"/>
                <w:bCs/>
                <w:color w:val="000000"/>
                <w:sz w:val="20"/>
                <w:szCs w:val="20"/>
                <w:lang w:val="en-US"/>
              </w:rPr>
              <w:t>Tidak mengalami</w:t>
            </w:r>
          </w:p>
          <w:p w:rsidR="003A009B" w:rsidRPr="00FC393B" w:rsidRDefault="003A009B" w:rsidP="00B629E7">
            <w:pPr>
              <w:spacing w:after="0" w:line="240" w:lineRule="auto"/>
              <w:rPr>
                <w:rFonts w:ascii="Times New Roman" w:hAnsi="Times New Roman"/>
                <w:b/>
                <w:bCs/>
                <w:color w:val="000000"/>
                <w:sz w:val="20"/>
                <w:szCs w:val="20"/>
                <w:lang w:val="en-US"/>
              </w:rPr>
            </w:pPr>
            <w:r w:rsidRPr="00FC393B">
              <w:rPr>
                <w:rFonts w:ascii="Times New Roman" w:hAnsi="Times New Roman"/>
                <w:bCs/>
                <w:color w:val="000000"/>
                <w:sz w:val="20"/>
                <w:szCs w:val="20"/>
                <w:lang w:val="en-US"/>
              </w:rPr>
              <w:t>Mengalami</w:t>
            </w:r>
            <w:r w:rsidRPr="00FC393B">
              <w:rPr>
                <w:rFonts w:ascii="Times New Roman" w:hAnsi="Times New Roman"/>
                <w:bCs/>
                <w:color w:val="000000"/>
                <w:sz w:val="20"/>
                <w:szCs w:val="20"/>
                <w:vertAlign w:val="superscript"/>
                <w:lang w:val="en-US"/>
              </w:rPr>
              <w:t>Ref</w:t>
            </w:r>
          </w:p>
        </w:tc>
        <w:tc>
          <w:tcPr>
            <w:tcW w:w="931" w:type="dxa"/>
            <w:tcBorders>
              <w:top w:val="nil"/>
              <w:bottom w:val="nil"/>
            </w:tcBorders>
          </w:tcPr>
          <w:p w:rsidR="003A009B" w:rsidRPr="00FC393B" w:rsidRDefault="003A009B" w:rsidP="00B629E7">
            <w:pPr>
              <w:spacing w:after="0" w:line="240" w:lineRule="auto"/>
              <w:rPr>
                <w:rFonts w:ascii="Times New Roman" w:hAnsi="Times New Roman"/>
                <w:bCs/>
                <w:iCs/>
                <w:color w:val="000000"/>
                <w:sz w:val="20"/>
                <w:szCs w:val="20"/>
                <w:lang w:val="en-US"/>
              </w:rPr>
            </w:pPr>
            <w:r w:rsidRPr="00FC393B">
              <w:rPr>
                <w:rFonts w:ascii="Times New Roman" w:hAnsi="Times New Roman"/>
                <w:bCs/>
                <w:iCs/>
                <w:color w:val="000000"/>
                <w:sz w:val="20"/>
                <w:szCs w:val="20"/>
                <w:lang w:val="en-US"/>
              </w:rPr>
              <w:t>0.050</w:t>
            </w:r>
          </w:p>
        </w:tc>
        <w:tc>
          <w:tcPr>
            <w:tcW w:w="947" w:type="dxa"/>
            <w:gridSpan w:val="3"/>
            <w:tcBorders>
              <w:top w:val="nil"/>
              <w:bottom w:val="nil"/>
            </w:tcBorders>
          </w:tcPr>
          <w:p w:rsidR="003A009B" w:rsidRPr="00FC393B" w:rsidRDefault="003A009B" w:rsidP="00B629E7">
            <w:pPr>
              <w:spacing w:after="0" w:line="240" w:lineRule="auto"/>
              <w:rPr>
                <w:rFonts w:ascii="Times New Roman" w:hAnsi="Times New Roman"/>
                <w:bCs/>
                <w:iCs/>
                <w:color w:val="000000"/>
                <w:sz w:val="20"/>
                <w:szCs w:val="20"/>
              </w:rPr>
            </w:pPr>
          </w:p>
          <w:p w:rsidR="003A009B" w:rsidRDefault="003A009B" w:rsidP="00B629E7">
            <w:pPr>
              <w:spacing w:after="0" w:line="240" w:lineRule="auto"/>
              <w:rPr>
                <w:rFonts w:ascii="Times New Roman" w:hAnsi="Times New Roman"/>
                <w:bCs/>
                <w:iCs/>
                <w:color w:val="000000"/>
                <w:sz w:val="20"/>
                <w:szCs w:val="20"/>
                <w:lang w:val="en-US"/>
              </w:rPr>
            </w:pPr>
            <w:r w:rsidRPr="00FC393B">
              <w:rPr>
                <w:rFonts w:ascii="Times New Roman" w:hAnsi="Times New Roman"/>
                <w:bCs/>
                <w:iCs/>
                <w:color w:val="000000"/>
                <w:sz w:val="20"/>
                <w:szCs w:val="20"/>
                <w:lang w:val="en-US"/>
              </w:rPr>
              <w:t>1.69</w:t>
            </w:r>
          </w:p>
          <w:p w:rsidR="003A009B" w:rsidRPr="00FC393B" w:rsidRDefault="003A009B" w:rsidP="00B629E7">
            <w:pPr>
              <w:spacing w:after="0" w:line="240" w:lineRule="auto"/>
              <w:rPr>
                <w:rFonts w:ascii="Times New Roman" w:hAnsi="Times New Roman"/>
                <w:bCs/>
                <w:iCs/>
                <w:color w:val="000000"/>
                <w:sz w:val="20"/>
                <w:szCs w:val="20"/>
                <w:lang w:val="en-US"/>
              </w:rPr>
            </w:pPr>
          </w:p>
        </w:tc>
        <w:tc>
          <w:tcPr>
            <w:tcW w:w="1208" w:type="dxa"/>
            <w:tcBorders>
              <w:top w:val="nil"/>
              <w:bottom w:val="nil"/>
            </w:tcBorders>
          </w:tcPr>
          <w:p w:rsidR="003A009B" w:rsidRPr="00FC393B" w:rsidRDefault="003A009B" w:rsidP="00B629E7">
            <w:pPr>
              <w:spacing w:after="0" w:line="240" w:lineRule="auto"/>
              <w:rPr>
                <w:rFonts w:ascii="Times New Roman" w:hAnsi="Times New Roman"/>
                <w:bCs/>
                <w:iCs/>
                <w:color w:val="000000"/>
                <w:sz w:val="20"/>
                <w:szCs w:val="20"/>
              </w:rPr>
            </w:pPr>
          </w:p>
          <w:p w:rsidR="003A009B" w:rsidRPr="00FC393B" w:rsidRDefault="003A009B" w:rsidP="00B629E7">
            <w:pPr>
              <w:spacing w:after="0" w:line="240" w:lineRule="auto"/>
              <w:rPr>
                <w:rFonts w:ascii="Times New Roman" w:hAnsi="Times New Roman"/>
                <w:bCs/>
                <w:iCs/>
                <w:color w:val="000000"/>
                <w:sz w:val="20"/>
                <w:szCs w:val="20"/>
                <w:lang w:val="en-US"/>
              </w:rPr>
            </w:pPr>
            <w:r w:rsidRPr="00FC393B">
              <w:rPr>
                <w:rFonts w:ascii="Times New Roman" w:hAnsi="Times New Roman"/>
                <w:bCs/>
                <w:iCs/>
                <w:color w:val="000000"/>
                <w:sz w:val="20"/>
                <w:szCs w:val="20"/>
                <w:lang w:val="en-US"/>
              </w:rPr>
              <w:t>1.001-2.88</w:t>
            </w:r>
          </w:p>
        </w:tc>
      </w:tr>
      <w:tr w:rsidR="003A009B" w:rsidRPr="00FC393B" w:rsidTr="00B629E7">
        <w:trPr>
          <w:trHeight w:val="315"/>
          <w:jc w:val="center"/>
        </w:trPr>
        <w:tc>
          <w:tcPr>
            <w:tcW w:w="2690" w:type="dxa"/>
            <w:gridSpan w:val="2"/>
            <w:tcBorders>
              <w:top w:val="nil"/>
            </w:tcBorders>
            <w:vAlign w:val="center"/>
          </w:tcPr>
          <w:p w:rsidR="003A009B" w:rsidRPr="00FC393B" w:rsidRDefault="003A009B" w:rsidP="00B629E7">
            <w:pPr>
              <w:spacing w:after="0" w:line="240" w:lineRule="auto"/>
              <w:rPr>
                <w:rFonts w:ascii="Times New Roman" w:hAnsi="Times New Roman"/>
                <w:b/>
                <w:bCs/>
                <w:color w:val="000000"/>
                <w:sz w:val="20"/>
                <w:szCs w:val="20"/>
                <w:lang w:val="en-US"/>
              </w:rPr>
            </w:pPr>
            <w:r w:rsidRPr="00FC393B">
              <w:rPr>
                <w:rFonts w:ascii="Times New Roman" w:hAnsi="Times New Roman"/>
                <w:b/>
                <w:bCs/>
                <w:color w:val="000000"/>
                <w:sz w:val="20"/>
                <w:szCs w:val="20"/>
                <w:lang w:val="en-US"/>
              </w:rPr>
              <w:t>Jenis Kelamin</w:t>
            </w:r>
          </w:p>
          <w:p w:rsidR="003A009B" w:rsidRPr="00FC393B" w:rsidRDefault="003A009B" w:rsidP="00B629E7">
            <w:pPr>
              <w:spacing w:after="0" w:line="240" w:lineRule="auto"/>
              <w:rPr>
                <w:rFonts w:ascii="Times New Roman" w:hAnsi="Times New Roman"/>
                <w:bCs/>
                <w:color w:val="000000"/>
                <w:sz w:val="20"/>
                <w:szCs w:val="20"/>
                <w:lang w:val="en-US"/>
              </w:rPr>
            </w:pPr>
            <w:r w:rsidRPr="00FC393B">
              <w:rPr>
                <w:rFonts w:ascii="Times New Roman" w:hAnsi="Times New Roman"/>
                <w:bCs/>
                <w:color w:val="000000"/>
                <w:sz w:val="20"/>
                <w:szCs w:val="20"/>
                <w:lang w:val="en-US"/>
              </w:rPr>
              <w:t>Perempuan</w:t>
            </w:r>
          </w:p>
          <w:p w:rsidR="003A009B" w:rsidRPr="00FC393B" w:rsidRDefault="003A009B" w:rsidP="00B629E7">
            <w:pPr>
              <w:spacing w:after="0" w:line="240" w:lineRule="auto"/>
              <w:rPr>
                <w:rFonts w:ascii="Times New Roman" w:hAnsi="Times New Roman"/>
                <w:b/>
                <w:bCs/>
                <w:color w:val="000000"/>
                <w:sz w:val="20"/>
                <w:szCs w:val="20"/>
                <w:lang w:val="en-US"/>
              </w:rPr>
            </w:pPr>
            <w:r w:rsidRPr="00FC393B">
              <w:rPr>
                <w:rFonts w:ascii="Times New Roman" w:hAnsi="Times New Roman"/>
                <w:bCs/>
                <w:color w:val="000000"/>
                <w:sz w:val="20"/>
                <w:szCs w:val="20"/>
                <w:lang w:val="en-US"/>
              </w:rPr>
              <w:t>Laki-laki</w:t>
            </w:r>
            <w:r w:rsidRPr="00FC393B">
              <w:rPr>
                <w:rFonts w:ascii="Times New Roman" w:hAnsi="Times New Roman"/>
                <w:bCs/>
                <w:color w:val="000000"/>
                <w:sz w:val="20"/>
                <w:szCs w:val="20"/>
                <w:vertAlign w:val="superscript"/>
                <w:lang w:val="en-US"/>
              </w:rPr>
              <w:t>Ref</w:t>
            </w:r>
          </w:p>
        </w:tc>
        <w:tc>
          <w:tcPr>
            <w:tcW w:w="931" w:type="dxa"/>
            <w:tcBorders>
              <w:top w:val="nil"/>
            </w:tcBorders>
          </w:tcPr>
          <w:p w:rsidR="003A009B" w:rsidRPr="00FC393B" w:rsidRDefault="003A009B" w:rsidP="00B629E7">
            <w:pPr>
              <w:spacing w:after="0" w:line="240" w:lineRule="auto"/>
              <w:rPr>
                <w:rFonts w:ascii="Times New Roman" w:hAnsi="Times New Roman"/>
                <w:bCs/>
                <w:iCs/>
                <w:color w:val="000000"/>
                <w:sz w:val="20"/>
                <w:szCs w:val="20"/>
                <w:lang w:val="en-US"/>
              </w:rPr>
            </w:pPr>
            <w:r w:rsidRPr="00FC393B">
              <w:rPr>
                <w:rFonts w:ascii="Times New Roman" w:hAnsi="Times New Roman"/>
                <w:bCs/>
                <w:iCs/>
                <w:color w:val="000000"/>
                <w:sz w:val="20"/>
                <w:szCs w:val="20"/>
                <w:lang w:val="en-US"/>
              </w:rPr>
              <w:t>0.002</w:t>
            </w:r>
          </w:p>
        </w:tc>
        <w:tc>
          <w:tcPr>
            <w:tcW w:w="947" w:type="dxa"/>
            <w:gridSpan w:val="3"/>
            <w:tcBorders>
              <w:top w:val="nil"/>
            </w:tcBorders>
          </w:tcPr>
          <w:p w:rsidR="003A009B" w:rsidRPr="00FC393B" w:rsidRDefault="003A009B" w:rsidP="00B629E7">
            <w:pPr>
              <w:spacing w:after="0" w:line="240" w:lineRule="auto"/>
              <w:rPr>
                <w:rFonts w:ascii="Times New Roman" w:hAnsi="Times New Roman"/>
                <w:bCs/>
                <w:iCs/>
                <w:color w:val="000000"/>
                <w:sz w:val="20"/>
                <w:szCs w:val="20"/>
              </w:rPr>
            </w:pPr>
          </w:p>
          <w:p w:rsidR="003A009B" w:rsidRPr="00FC393B" w:rsidRDefault="003A009B" w:rsidP="00B629E7">
            <w:pPr>
              <w:spacing w:after="0" w:line="240" w:lineRule="auto"/>
              <w:rPr>
                <w:rFonts w:ascii="Times New Roman" w:hAnsi="Times New Roman"/>
                <w:bCs/>
                <w:iCs/>
                <w:color w:val="000000"/>
                <w:sz w:val="20"/>
                <w:szCs w:val="20"/>
                <w:lang w:val="en-US"/>
              </w:rPr>
            </w:pPr>
            <w:r w:rsidRPr="00FC393B">
              <w:rPr>
                <w:rFonts w:ascii="Times New Roman" w:hAnsi="Times New Roman"/>
                <w:bCs/>
                <w:iCs/>
                <w:color w:val="000000"/>
                <w:sz w:val="20"/>
                <w:szCs w:val="20"/>
                <w:lang w:val="en-US"/>
              </w:rPr>
              <w:t>2.77</w:t>
            </w:r>
          </w:p>
        </w:tc>
        <w:tc>
          <w:tcPr>
            <w:tcW w:w="1208" w:type="dxa"/>
            <w:tcBorders>
              <w:top w:val="nil"/>
            </w:tcBorders>
          </w:tcPr>
          <w:p w:rsidR="003A009B" w:rsidRPr="00FC393B" w:rsidRDefault="003A009B" w:rsidP="00B629E7">
            <w:pPr>
              <w:spacing w:after="0" w:line="240" w:lineRule="auto"/>
              <w:rPr>
                <w:rFonts w:ascii="Times New Roman" w:hAnsi="Times New Roman"/>
                <w:bCs/>
                <w:iCs/>
                <w:color w:val="000000"/>
                <w:sz w:val="20"/>
                <w:szCs w:val="20"/>
              </w:rPr>
            </w:pPr>
          </w:p>
          <w:p w:rsidR="003A009B" w:rsidRPr="00FC393B" w:rsidRDefault="003A009B" w:rsidP="00B629E7">
            <w:pPr>
              <w:spacing w:after="0" w:line="240" w:lineRule="auto"/>
              <w:rPr>
                <w:rFonts w:ascii="Times New Roman" w:hAnsi="Times New Roman"/>
                <w:bCs/>
                <w:iCs/>
                <w:color w:val="000000"/>
                <w:sz w:val="20"/>
                <w:szCs w:val="20"/>
                <w:lang w:val="en-US"/>
              </w:rPr>
            </w:pPr>
            <w:r w:rsidRPr="00FC393B">
              <w:rPr>
                <w:rFonts w:ascii="Times New Roman" w:hAnsi="Times New Roman"/>
                <w:bCs/>
                <w:iCs/>
                <w:color w:val="000000"/>
                <w:sz w:val="20"/>
                <w:szCs w:val="20"/>
                <w:lang w:val="en-US"/>
              </w:rPr>
              <w:t>1.47-5.20</w:t>
            </w:r>
          </w:p>
        </w:tc>
      </w:tr>
      <w:tr w:rsidR="003A009B" w:rsidRPr="00FC393B" w:rsidTr="00B629E7">
        <w:trPr>
          <w:trHeight w:val="315"/>
          <w:jc w:val="center"/>
        </w:trPr>
        <w:tc>
          <w:tcPr>
            <w:tcW w:w="2690" w:type="dxa"/>
            <w:gridSpan w:val="2"/>
            <w:vAlign w:val="center"/>
          </w:tcPr>
          <w:p w:rsidR="003A009B" w:rsidRPr="00FC393B" w:rsidRDefault="003A009B" w:rsidP="00B629E7">
            <w:pPr>
              <w:spacing w:after="0" w:line="240" w:lineRule="auto"/>
              <w:rPr>
                <w:rFonts w:ascii="Times New Roman" w:hAnsi="Times New Roman"/>
                <w:b/>
                <w:bCs/>
                <w:color w:val="000000"/>
                <w:sz w:val="20"/>
                <w:szCs w:val="20"/>
                <w:lang w:val="en-US"/>
              </w:rPr>
            </w:pPr>
            <w:r w:rsidRPr="00FC393B">
              <w:rPr>
                <w:rFonts w:ascii="Times New Roman" w:hAnsi="Times New Roman"/>
                <w:b/>
                <w:bCs/>
                <w:i/>
                <w:color w:val="000000"/>
                <w:sz w:val="20"/>
                <w:szCs w:val="20"/>
                <w:lang w:val="en-US"/>
              </w:rPr>
              <w:t>Pseudo</w:t>
            </w:r>
            <w:r w:rsidRPr="00FC393B">
              <w:rPr>
                <w:rFonts w:ascii="Times New Roman" w:hAnsi="Times New Roman"/>
                <w:b/>
                <w:bCs/>
                <w:color w:val="000000"/>
                <w:sz w:val="20"/>
                <w:szCs w:val="20"/>
                <w:lang w:val="en-US"/>
              </w:rPr>
              <w:t xml:space="preserve"> R2</w:t>
            </w:r>
          </w:p>
          <w:p w:rsidR="003A009B" w:rsidRPr="00FC393B" w:rsidRDefault="003A009B" w:rsidP="00B629E7">
            <w:pPr>
              <w:spacing w:after="0" w:line="240" w:lineRule="auto"/>
              <w:rPr>
                <w:rFonts w:ascii="Times New Roman" w:hAnsi="Times New Roman"/>
                <w:b/>
                <w:bCs/>
                <w:color w:val="000000"/>
                <w:sz w:val="20"/>
                <w:szCs w:val="20"/>
                <w:lang w:val="en-US"/>
              </w:rPr>
            </w:pPr>
            <w:r>
              <w:rPr>
                <w:rFonts w:ascii="Times New Roman" w:hAnsi="Times New Roman"/>
                <w:b/>
                <w:bCs/>
                <w:color w:val="000000"/>
                <w:sz w:val="20"/>
                <w:szCs w:val="20"/>
                <w:lang w:val="en-US"/>
              </w:rPr>
              <w:t>n</w:t>
            </w:r>
          </w:p>
        </w:tc>
        <w:tc>
          <w:tcPr>
            <w:tcW w:w="931" w:type="dxa"/>
            <w:vAlign w:val="center"/>
          </w:tcPr>
          <w:p w:rsidR="003A009B" w:rsidRPr="00FC393B" w:rsidRDefault="003A009B" w:rsidP="00B629E7">
            <w:pPr>
              <w:spacing w:after="0" w:line="240" w:lineRule="auto"/>
              <w:rPr>
                <w:rFonts w:ascii="Times New Roman" w:hAnsi="Times New Roman"/>
                <w:bCs/>
                <w:iCs/>
                <w:color w:val="000000"/>
                <w:sz w:val="20"/>
                <w:szCs w:val="20"/>
                <w:lang w:val="en-US"/>
              </w:rPr>
            </w:pPr>
          </w:p>
        </w:tc>
        <w:tc>
          <w:tcPr>
            <w:tcW w:w="947" w:type="dxa"/>
            <w:gridSpan w:val="3"/>
          </w:tcPr>
          <w:p w:rsidR="003A009B" w:rsidRPr="00FC393B" w:rsidRDefault="003A009B" w:rsidP="00B629E7">
            <w:pPr>
              <w:spacing w:after="0" w:line="240" w:lineRule="auto"/>
              <w:rPr>
                <w:rFonts w:ascii="Times New Roman" w:hAnsi="Times New Roman"/>
                <w:bCs/>
                <w:iCs/>
                <w:color w:val="000000"/>
                <w:sz w:val="20"/>
                <w:szCs w:val="20"/>
              </w:rPr>
            </w:pPr>
          </w:p>
        </w:tc>
        <w:tc>
          <w:tcPr>
            <w:tcW w:w="1208" w:type="dxa"/>
            <w:vAlign w:val="bottom"/>
          </w:tcPr>
          <w:p w:rsidR="003A009B" w:rsidRPr="00FC393B" w:rsidRDefault="003A009B" w:rsidP="00B629E7">
            <w:pPr>
              <w:spacing w:after="0" w:line="240" w:lineRule="auto"/>
              <w:jc w:val="right"/>
              <w:rPr>
                <w:rFonts w:ascii="Times New Roman" w:hAnsi="Times New Roman"/>
                <w:bCs/>
                <w:iCs/>
                <w:color w:val="000000"/>
                <w:sz w:val="20"/>
                <w:szCs w:val="20"/>
                <w:lang w:val="en-US"/>
              </w:rPr>
            </w:pPr>
            <w:r w:rsidRPr="00FC393B">
              <w:rPr>
                <w:rFonts w:ascii="Times New Roman" w:hAnsi="Times New Roman"/>
                <w:bCs/>
                <w:iCs/>
                <w:color w:val="000000"/>
                <w:sz w:val="20"/>
                <w:szCs w:val="20"/>
                <w:lang w:val="en-US"/>
              </w:rPr>
              <w:t>0,05</w:t>
            </w:r>
          </w:p>
          <w:p w:rsidR="003A009B" w:rsidRPr="00FC393B" w:rsidRDefault="003A009B" w:rsidP="00B629E7">
            <w:pPr>
              <w:spacing w:after="0" w:line="240" w:lineRule="auto"/>
              <w:jc w:val="right"/>
              <w:rPr>
                <w:rFonts w:ascii="Times New Roman" w:hAnsi="Times New Roman"/>
                <w:bCs/>
                <w:iCs/>
                <w:color w:val="000000"/>
                <w:sz w:val="20"/>
                <w:szCs w:val="20"/>
                <w:lang w:val="en-US"/>
              </w:rPr>
            </w:pPr>
            <w:r w:rsidRPr="00FC393B">
              <w:rPr>
                <w:rFonts w:ascii="Times New Roman" w:hAnsi="Times New Roman"/>
                <w:bCs/>
                <w:iCs/>
                <w:color w:val="000000"/>
                <w:sz w:val="20"/>
                <w:szCs w:val="20"/>
                <w:lang w:val="en-US"/>
              </w:rPr>
              <w:t>280</w:t>
            </w:r>
          </w:p>
        </w:tc>
      </w:tr>
    </w:tbl>
    <w:p w:rsidR="002D07C9" w:rsidRPr="00FC393B" w:rsidRDefault="00FC393B" w:rsidP="003A009B">
      <w:pPr>
        <w:spacing w:after="0" w:line="480" w:lineRule="auto"/>
        <w:ind w:left="1170" w:firstLine="405"/>
        <w:jc w:val="both"/>
        <w:rPr>
          <w:rFonts w:ascii="Times New Roman" w:hAnsi="Times New Roman"/>
          <w:sz w:val="20"/>
          <w:szCs w:val="20"/>
        </w:rPr>
      </w:pPr>
      <w:r w:rsidRPr="00FC393B">
        <w:rPr>
          <w:rFonts w:ascii="Times New Roman" w:hAnsi="Times New Roman"/>
          <w:sz w:val="20"/>
          <w:szCs w:val="20"/>
        </w:rPr>
        <w:t>Sumber: Pengolahan Data Primer</w:t>
      </w:r>
    </w:p>
    <w:p w:rsidR="002D07C9" w:rsidRPr="00775451" w:rsidRDefault="00085447" w:rsidP="003E603A">
      <w:pPr>
        <w:pStyle w:val="firstparagrah"/>
        <w:tabs>
          <w:tab w:val="clear" w:pos="142"/>
          <w:tab w:val="left" w:pos="426"/>
        </w:tabs>
        <w:spacing w:line="36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Model ini menunjukkan bahwa hambatan kognitif berhubungan secara bermakna dengan akses informasi kesehatan reproduksi setelah mempertimbangkan variabel lain yaitu </w:t>
      </w:r>
      <w:r>
        <w:rPr>
          <w:rFonts w:ascii="Times New Roman" w:hAnsi="Times New Roman" w:cs="Times New Roman"/>
          <w:sz w:val="24"/>
          <w:szCs w:val="24"/>
          <w:lang w:val="en-US"/>
        </w:rPr>
        <w:lastRenderedPageBreak/>
        <w:t>hambatan psikososial dan jenis kelamin. Hal ini menunjukkan bahwa responden yang tidak mengalami hambatan kognitif kecenderungannya untuk mengakses informasi kesehatan reproduksi 83% leb</w:t>
      </w:r>
      <w:r w:rsidR="002333D6">
        <w:rPr>
          <w:rFonts w:ascii="Times New Roman" w:hAnsi="Times New Roman" w:cs="Times New Roman"/>
          <w:sz w:val="24"/>
          <w:szCs w:val="24"/>
          <w:lang w:val="en-US"/>
        </w:rPr>
        <w:t xml:space="preserve">ih tinggi jika kondisi variabel lain yaitu hambatan psikosial dan jenis kelaminnya sama. </w:t>
      </w:r>
      <w:r w:rsidR="00217DD7">
        <w:rPr>
          <w:rFonts w:ascii="Times New Roman" w:hAnsi="Times New Roman" w:cs="Times New Roman"/>
          <w:sz w:val="24"/>
          <w:szCs w:val="24"/>
          <w:lang w:val="en-US"/>
        </w:rPr>
        <w:t xml:space="preserve">Variabel hambatan psikososial dan jenis kelamin juga mempunyai hubungan yang signifikan secara statistik dengan akses informasi kesehatan reproduksi. </w:t>
      </w:r>
      <w:r w:rsidR="00775451" w:rsidRPr="00775451">
        <w:rPr>
          <w:rFonts w:ascii="Times New Roman" w:hAnsi="Times New Roman" w:cs="Times New Roman"/>
          <w:sz w:val="24"/>
          <w:szCs w:val="24"/>
          <w:lang w:val="en-US"/>
        </w:rPr>
        <w:t>Kuali</w:t>
      </w:r>
      <w:r w:rsidR="00775451">
        <w:rPr>
          <w:rFonts w:ascii="Times New Roman" w:hAnsi="Times New Roman" w:cs="Times New Roman"/>
          <w:sz w:val="24"/>
          <w:szCs w:val="24"/>
          <w:lang w:val="en-US"/>
        </w:rPr>
        <w:t>tas model</w:t>
      </w:r>
      <w:r>
        <w:rPr>
          <w:rFonts w:ascii="Times New Roman" w:hAnsi="Times New Roman" w:cs="Times New Roman"/>
          <w:sz w:val="24"/>
          <w:szCs w:val="24"/>
          <w:lang w:val="en-US"/>
        </w:rPr>
        <w:t xml:space="preserve"> ini dalam memprediksi akses informasi kesehatan reproduksi dijelaskan melalui nilai </w:t>
      </w:r>
      <w:r w:rsidR="00775451" w:rsidRPr="00085447">
        <w:rPr>
          <w:rFonts w:ascii="Times New Roman" w:hAnsi="Times New Roman" w:cs="Times New Roman"/>
          <w:i/>
          <w:sz w:val="24"/>
          <w:szCs w:val="24"/>
          <w:lang w:val="en-US"/>
        </w:rPr>
        <w:t>pseudo</w:t>
      </w:r>
      <w:r w:rsidR="00775451">
        <w:rPr>
          <w:rFonts w:ascii="Times New Roman" w:hAnsi="Times New Roman" w:cs="Times New Roman"/>
          <w:sz w:val="24"/>
          <w:szCs w:val="24"/>
          <w:lang w:val="en-US"/>
        </w:rPr>
        <w:t xml:space="preserve"> R2 </w:t>
      </w:r>
      <w:r>
        <w:rPr>
          <w:rFonts w:ascii="Times New Roman" w:hAnsi="Times New Roman" w:cs="Times New Roman"/>
          <w:sz w:val="24"/>
          <w:szCs w:val="24"/>
          <w:lang w:val="en-US"/>
        </w:rPr>
        <w:t>yaitu</w:t>
      </w:r>
      <w:r w:rsidR="00775451">
        <w:rPr>
          <w:rFonts w:ascii="Times New Roman" w:hAnsi="Times New Roman" w:cs="Times New Roman"/>
          <w:sz w:val="24"/>
          <w:szCs w:val="24"/>
          <w:lang w:val="en-US"/>
        </w:rPr>
        <w:t xml:space="preserve"> 0,05.</w:t>
      </w:r>
      <w:r>
        <w:rPr>
          <w:rFonts w:ascii="Times New Roman" w:hAnsi="Times New Roman" w:cs="Times New Roman"/>
          <w:sz w:val="24"/>
          <w:szCs w:val="24"/>
          <w:lang w:val="en-US"/>
        </w:rPr>
        <w:t>Hal tersebut berarti bahwa 5% variasi pada akses informasi kesehatan reproduksi ini dapat dijel</w:t>
      </w:r>
      <w:r w:rsidR="00217DD7">
        <w:rPr>
          <w:rFonts w:ascii="Times New Roman" w:hAnsi="Times New Roman" w:cs="Times New Roman"/>
          <w:sz w:val="24"/>
          <w:szCs w:val="24"/>
          <w:lang w:val="en-US"/>
        </w:rPr>
        <w:t>askan oleh model ini. Sedangkan</w:t>
      </w:r>
      <w:r w:rsidR="0078618C">
        <w:rPr>
          <w:rFonts w:ascii="Times New Roman" w:hAnsi="Times New Roman" w:cs="Times New Roman"/>
          <w:sz w:val="24"/>
          <w:szCs w:val="24"/>
          <w:lang w:val="en-US"/>
        </w:rPr>
        <w:t>95%</w:t>
      </w:r>
      <w:r w:rsidR="00217DD7">
        <w:rPr>
          <w:rFonts w:ascii="Times New Roman" w:hAnsi="Times New Roman" w:cs="Times New Roman"/>
          <w:sz w:val="24"/>
          <w:szCs w:val="24"/>
          <w:lang w:val="en-US"/>
        </w:rPr>
        <w:t xml:space="preserve"> sisanyadipengaruhi oleh fak</w:t>
      </w:r>
      <w:r>
        <w:rPr>
          <w:rFonts w:ascii="Times New Roman" w:hAnsi="Times New Roman" w:cs="Times New Roman"/>
          <w:sz w:val="24"/>
          <w:szCs w:val="24"/>
          <w:lang w:val="en-US"/>
        </w:rPr>
        <w:t>tor risiko lain yang tidak terjaring dalam penelitian ini. Akan tetapi berdas</w:t>
      </w:r>
      <w:r w:rsidR="00217DD7">
        <w:rPr>
          <w:rFonts w:ascii="Times New Roman" w:hAnsi="Times New Roman" w:cs="Times New Roman"/>
          <w:sz w:val="24"/>
          <w:szCs w:val="24"/>
          <w:lang w:val="en-US"/>
        </w:rPr>
        <w:t>a</w:t>
      </w:r>
      <w:r w:rsidR="00A53CC8">
        <w:rPr>
          <w:rFonts w:ascii="Times New Roman" w:hAnsi="Times New Roman" w:cs="Times New Roman"/>
          <w:sz w:val="24"/>
          <w:szCs w:val="24"/>
          <w:lang w:val="en-US"/>
        </w:rPr>
        <w:t>r</w:t>
      </w:r>
      <w:r>
        <w:rPr>
          <w:rFonts w:ascii="Times New Roman" w:hAnsi="Times New Roman" w:cs="Times New Roman"/>
          <w:sz w:val="24"/>
          <w:szCs w:val="24"/>
          <w:lang w:val="en-US"/>
        </w:rPr>
        <w:t>kan analisis</w:t>
      </w:r>
      <w:r w:rsidR="00775451" w:rsidRPr="00085447">
        <w:rPr>
          <w:rFonts w:ascii="Times New Roman" w:hAnsi="Times New Roman" w:cs="Times New Roman"/>
          <w:i/>
          <w:sz w:val="24"/>
          <w:szCs w:val="24"/>
          <w:lang w:val="en-US"/>
        </w:rPr>
        <w:t>Goodness of fits</w:t>
      </w:r>
      <w:r w:rsidR="0078618C" w:rsidRPr="00085447">
        <w:rPr>
          <w:rFonts w:ascii="Times New Roman" w:hAnsi="Times New Roman" w:cs="Times New Roman"/>
          <w:i/>
          <w:sz w:val="24"/>
          <w:szCs w:val="24"/>
          <w:lang w:val="en-US"/>
        </w:rPr>
        <w:t xml:space="preserve"> test</w:t>
      </w:r>
      <w:r>
        <w:rPr>
          <w:rFonts w:ascii="Times New Roman" w:hAnsi="Times New Roman" w:cs="Times New Roman"/>
          <w:sz w:val="24"/>
          <w:szCs w:val="24"/>
          <w:lang w:val="en-US"/>
        </w:rPr>
        <w:t xml:space="preserve"> hasil p-value sebesar</w:t>
      </w:r>
      <w:r w:rsidR="00775451">
        <w:rPr>
          <w:rFonts w:ascii="Times New Roman" w:hAnsi="Times New Roman" w:cs="Times New Roman"/>
          <w:sz w:val="24"/>
          <w:szCs w:val="24"/>
          <w:lang w:val="en-US"/>
        </w:rPr>
        <w:t xml:space="preserve"> 0,53 (&gt;0,05)</w:t>
      </w:r>
      <w:r>
        <w:rPr>
          <w:rFonts w:ascii="Times New Roman" w:hAnsi="Times New Roman" w:cs="Times New Roman"/>
          <w:sz w:val="24"/>
          <w:szCs w:val="24"/>
          <w:lang w:val="en-US"/>
        </w:rPr>
        <w:t xml:space="preserve"> dapat </w:t>
      </w:r>
      <w:r w:rsidR="00217DD7">
        <w:rPr>
          <w:rFonts w:ascii="Times New Roman" w:hAnsi="Times New Roman" w:cs="Times New Roman"/>
          <w:sz w:val="24"/>
          <w:szCs w:val="24"/>
          <w:lang w:val="en-US"/>
        </w:rPr>
        <w:t xml:space="preserve">disimpulkan bahwa persamaan </w:t>
      </w:r>
      <w:r>
        <w:rPr>
          <w:rFonts w:ascii="Times New Roman" w:hAnsi="Times New Roman" w:cs="Times New Roman"/>
          <w:sz w:val="24"/>
          <w:szCs w:val="24"/>
          <w:lang w:val="en-US"/>
        </w:rPr>
        <w:t>model ini memiliki kaliberasi yang baik, dan dapat mem</w:t>
      </w:r>
      <w:r w:rsidR="00217DD7">
        <w:rPr>
          <w:rFonts w:ascii="Times New Roman" w:hAnsi="Times New Roman" w:cs="Times New Roman"/>
          <w:sz w:val="24"/>
          <w:szCs w:val="24"/>
          <w:lang w:val="en-US"/>
        </w:rPr>
        <w:t>berikan prediksi yang benar tentang</w:t>
      </w:r>
      <w:r>
        <w:rPr>
          <w:rFonts w:ascii="Times New Roman" w:hAnsi="Times New Roman" w:cs="Times New Roman"/>
          <w:sz w:val="24"/>
          <w:szCs w:val="24"/>
          <w:lang w:val="en-US"/>
        </w:rPr>
        <w:t xml:space="preserve"> akses informasi kesehatan reproduksi.</w:t>
      </w:r>
    </w:p>
    <w:p w:rsidR="00CB612C" w:rsidRPr="002333D6" w:rsidRDefault="002333D6" w:rsidP="0025261A">
      <w:pPr>
        <w:pStyle w:val="firstparagrah"/>
        <w:tabs>
          <w:tab w:val="clear" w:pos="142"/>
          <w:tab w:val="left" w:pos="426"/>
        </w:tabs>
        <w:spacing w:line="360" w:lineRule="auto"/>
        <w:contextualSpacing/>
        <w:rPr>
          <w:rFonts w:ascii="Times New Roman" w:hAnsi="Times New Roman" w:cs="Times New Roman"/>
          <w:b/>
          <w:sz w:val="24"/>
          <w:szCs w:val="24"/>
          <w:lang w:val="en-US"/>
        </w:rPr>
      </w:pPr>
      <w:r>
        <w:rPr>
          <w:rFonts w:ascii="Times New Roman" w:hAnsi="Times New Roman" w:cs="Times New Roman"/>
          <w:b/>
          <w:sz w:val="24"/>
          <w:szCs w:val="24"/>
          <w:lang w:val="en-US"/>
        </w:rPr>
        <w:t>Pembahasan</w:t>
      </w:r>
    </w:p>
    <w:p w:rsidR="009740AF" w:rsidRDefault="009740AF" w:rsidP="0025261A">
      <w:pPr>
        <w:pStyle w:val="ListParagraph"/>
        <w:tabs>
          <w:tab w:val="left" w:pos="284"/>
          <w:tab w:val="left" w:pos="567"/>
        </w:tabs>
        <w:spacing w:after="0" w:line="36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Secara umum </w:t>
      </w:r>
      <w:r w:rsidR="002333D6">
        <w:rPr>
          <w:rFonts w:ascii="Times New Roman" w:hAnsi="Times New Roman"/>
          <w:sz w:val="24"/>
          <w:szCs w:val="24"/>
        </w:rPr>
        <w:t>penelitian ini menunjukkan bahwa hambatan akses kognitif berhubungan dengan akses informasi keseha</w:t>
      </w:r>
      <w:r w:rsidR="002333D6">
        <w:rPr>
          <w:rFonts w:ascii="Times New Roman" w:hAnsi="Times New Roman"/>
          <w:sz w:val="24"/>
          <w:szCs w:val="24"/>
          <w:lang w:val="en-US"/>
        </w:rPr>
        <w:t xml:space="preserve">tan reproduksi dengan mempertimbangkan variabel-variabel lain. </w:t>
      </w:r>
      <w:r>
        <w:rPr>
          <w:rFonts w:ascii="Times New Roman" w:hAnsi="Times New Roman"/>
          <w:sz w:val="24"/>
          <w:szCs w:val="24"/>
          <w:lang w:val="en-US"/>
        </w:rPr>
        <w:t>Kelompok mahasiswa yang tidak mengalami hambatan akses kognitif</w:t>
      </w:r>
      <w:r w:rsidR="00A53CC8">
        <w:rPr>
          <w:rFonts w:ascii="Times New Roman" w:hAnsi="Times New Roman"/>
          <w:sz w:val="24"/>
          <w:szCs w:val="24"/>
          <w:lang w:val="en-US"/>
        </w:rPr>
        <w:t xml:space="preserve"> (mengetahui keberadaan pusat informasi dan pelayanan kesehatan reproduksi)</w:t>
      </w:r>
      <w:r>
        <w:rPr>
          <w:rFonts w:ascii="Times New Roman" w:hAnsi="Times New Roman"/>
          <w:sz w:val="24"/>
          <w:szCs w:val="24"/>
          <w:lang w:val="en-US"/>
        </w:rPr>
        <w:t xml:space="preserve"> memiliki kecenderungan untuk melakukan akses informasi ke</w:t>
      </w:r>
      <w:r w:rsidR="00CC04A2">
        <w:rPr>
          <w:rFonts w:ascii="Times New Roman" w:hAnsi="Times New Roman"/>
          <w:sz w:val="24"/>
          <w:szCs w:val="24"/>
          <w:lang w:val="en-US"/>
        </w:rPr>
        <w:t xml:space="preserve">sehatan reproduksi. Faktor </w:t>
      </w:r>
      <w:r>
        <w:rPr>
          <w:rFonts w:ascii="Times New Roman" w:hAnsi="Times New Roman"/>
          <w:sz w:val="24"/>
          <w:szCs w:val="24"/>
          <w:lang w:val="en-US"/>
        </w:rPr>
        <w:t>yang turut berhubungan dengan akses informasi kesehatan reproduksi adalah hambatan psikososial dan jeni</w:t>
      </w:r>
      <w:r w:rsidR="00CC04A2">
        <w:rPr>
          <w:rFonts w:ascii="Times New Roman" w:hAnsi="Times New Roman"/>
          <w:sz w:val="24"/>
          <w:szCs w:val="24"/>
          <w:lang w:val="en-US"/>
        </w:rPr>
        <w:t xml:space="preserve">s kelamin. </w:t>
      </w:r>
      <w:r>
        <w:rPr>
          <w:rFonts w:ascii="Times New Roman" w:hAnsi="Times New Roman"/>
          <w:sz w:val="24"/>
          <w:szCs w:val="24"/>
          <w:lang w:val="en-US"/>
        </w:rPr>
        <w:t>Kelompok responden</w:t>
      </w:r>
      <w:r w:rsidR="00F96BD4">
        <w:rPr>
          <w:rFonts w:ascii="Times New Roman" w:hAnsi="Times New Roman"/>
          <w:sz w:val="24"/>
          <w:szCs w:val="24"/>
          <w:lang w:val="en-US"/>
        </w:rPr>
        <w:t xml:space="preserve"> yang mengalami hambatan psikoso</w:t>
      </w:r>
      <w:r>
        <w:rPr>
          <w:rFonts w:ascii="Times New Roman" w:hAnsi="Times New Roman"/>
          <w:sz w:val="24"/>
          <w:szCs w:val="24"/>
          <w:lang w:val="en-US"/>
        </w:rPr>
        <w:t>sial</w:t>
      </w:r>
      <w:r w:rsidR="00A53CC8">
        <w:rPr>
          <w:rFonts w:ascii="Times New Roman" w:hAnsi="Times New Roman"/>
          <w:sz w:val="24"/>
          <w:szCs w:val="24"/>
          <w:lang w:val="en-US"/>
        </w:rPr>
        <w:t>(merasa takut untuk mengakses informasi kesehatan reproduksi)</w:t>
      </w:r>
      <w:r>
        <w:rPr>
          <w:rFonts w:ascii="Times New Roman" w:hAnsi="Times New Roman"/>
          <w:sz w:val="24"/>
          <w:szCs w:val="24"/>
          <w:lang w:val="en-US"/>
        </w:rPr>
        <w:t xml:space="preserve"> cenderung tidak mengakses informasi kesehatan reproduksi, serta jenis kelamin laki-laki juga cenderung untuk tidak mengakses informasi kesehatan reproduksi. </w:t>
      </w:r>
    </w:p>
    <w:p w:rsidR="00A53CC8" w:rsidRDefault="00D310DD" w:rsidP="00FB65B3">
      <w:pPr>
        <w:spacing w:after="0" w:line="360" w:lineRule="auto"/>
        <w:ind w:firstLine="567"/>
        <w:contextualSpacing/>
        <w:jc w:val="both"/>
        <w:rPr>
          <w:rFonts w:ascii="Times New Roman" w:hAnsi="Times New Roman"/>
          <w:sz w:val="24"/>
          <w:szCs w:val="24"/>
          <w:lang w:val="en-US"/>
        </w:rPr>
      </w:pPr>
      <w:r>
        <w:rPr>
          <w:rFonts w:ascii="Times New Roman" w:hAnsi="Times New Roman"/>
          <w:sz w:val="24"/>
          <w:szCs w:val="24"/>
          <w:lang w:val="en-US"/>
        </w:rPr>
        <w:t>Hasi</w:t>
      </w:r>
      <w:r w:rsidR="00CC04A2">
        <w:rPr>
          <w:rFonts w:ascii="Times New Roman" w:hAnsi="Times New Roman"/>
          <w:sz w:val="24"/>
          <w:szCs w:val="24"/>
          <w:lang w:val="en-US"/>
        </w:rPr>
        <w:t>l studi telaah pustaka Price dkk (</w:t>
      </w:r>
      <w:r>
        <w:rPr>
          <w:rFonts w:ascii="Times New Roman" w:hAnsi="Times New Roman"/>
          <w:sz w:val="24"/>
          <w:szCs w:val="24"/>
          <w:lang w:val="en-US"/>
        </w:rPr>
        <w:t>2007</w:t>
      </w:r>
      <w:r w:rsidR="00CC04A2">
        <w:rPr>
          <w:rFonts w:ascii="Times New Roman" w:hAnsi="Times New Roman"/>
          <w:sz w:val="24"/>
          <w:szCs w:val="24"/>
          <w:lang w:val="en-US"/>
        </w:rPr>
        <w:t>)</w:t>
      </w:r>
      <w:r>
        <w:rPr>
          <w:rFonts w:ascii="Times New Roman" w:hAnsi="Times New Roman"/>
          <w:sz w:val="24"/>
          <w:szCs w:val="24"/>
          <w:lang w:val="en-US"/>
        </w:rPr>
        <w:t xml:space="preserve"> menunjukkan faktor-faktor yang mempengaruhi akses yaitu</w:t>
      </w:r>
      <w:r w:rsidR="00CC04A2">
        <w:rPr>
          <w:rFonts w:ascii="Times New Roman" w:hAnsi="Times New Roman"/>
          <w:sz w:val="24"/>
          <w:szCs w:val="24"/>
          <w:lang w:val="en-US"/>
        </w:rPr>
        <w:t>:</w:t>
      </w:r>
      <w:r>
        <w:rPr>
          <w:rFonts w:ascii="Times New Roman" w:hAnsi="Times New Roman"/>
          <w:sz w:val="24"/>
          <w:szCs w:val="24"/>
          <w:lang w:val="en-US"/>
        </w:rPr>
        <w:t xml:space="preserve"> ketersediaan, keterjangkauan, penerima</w:t>
      </w:r>
      <w:r w:rsidR="00CC04A2">
        <w:rPr>
          <w:rFonts w:ascii="Times New Roman" w:hAnsi="Times New Roman"/>
          <w:sz w:val="24"/>
          <w:szCs w:val="24"/>
          <w:lang w:val="en-US"/>
        </w:rPr>
        <w:t>an, kenyamanan dan pengetahuan.</w:t>
      </w:r>
      <w:r>
        <w:rPr>
          <w:rFonts w:ascii="Times New Roman" w:hAnsi="Times New Roman"/>
          <w:sz w:val="24"/>
          <w:szCs w:val="24"/>
          <w:lang w:val="en-US"/>
        </w:rPr>
        <w:t xml:space="preserve"> Hambatan akses kognitif dapat menunjukkan adanya </w:t>
      </w:r>
      <w:r w:rsidR="00F96BD4">
        <w:rPr>
          <w:rFonts w:ascii="Times New Roman" w:hAnsi="Times New Roman"/>
          <w:sz w:val="24"/>
          <w:szCs w:val="24"/>
          <w:lang w:val="en-US"/>
        </w:rPr>
        <w:t>ketidaktahuan tentang</w:t>
      </w:r>
      <w:r>
        <w:rPr>
          <w:rFonts w:ascii="Times New Roman" w:hAnsi="Times New Roman"/>
          <w:sz w:val="24"/>
          <w:szCs w:val="24"/>
          <w:lang w:val="en-US"/>
        </w:rPr>
        <w:t xml:space="preserve"> ketersediaan suatu sumber pelayanan kesehatan. </w:t>
      </w:r>
      <w:r w:rsidR="00FB65B3">
        <w:rPr>
          <w:rFonts w:ascii="Times New Roman" w:hAnsi="Times New Roman"/>
          <w:sz w:val="24"/>
          <w:szCs w:val="24"/>
          <w:lang w:val="en-US"/>
        </w:rPr>
        <w:t>Pengetahuan tentang keberadaan suatu pusat informasi/pelayanan kesehatan reproduksi berhubungan dengan akses informasi kesehatan reproduksi. Salah satu alasan remaja tidak mendatangi pusat informasi dan pelayanan kesehatan reproduksi adalah tidak mengetahui keberadaan tempat tersebut</w:t>
      </w:r>
      <w:r w:rsidR="00A53CC8">
        <w:rPr>
          <w:rFonts w:ascii="Times New Roman" w:hAnsi="Times New Roman"/>
          <w:sz w:val="24"/>
          <w:szCs w:val="24"/>
          <w:lang w:val="en-US"/>
        </w:rPr>
        <w:t xml:space="preserve"> (Alli, F dkk, 2013)</w:t>
      </w:r>
      <w:r w:rsidR="00FB65B3">
        <w:rPr>
          <w:rFonts w:ascii="Times New Roman" w:hAnsi="Times New Roman"/>
          <w:sz w:val="24"/>
          <w:szCs w:val="24"/>
          <w:lang w:val="en-US"/>
        </w:rPr>
        <w:t xml:space="preserve">. Pada mahasiswa yang mengetahui tempat layanan tersebut tidak semua mahasiswa mendatangi tempat tersebut untuk berkonsultasi (Nurmansyah dkk, 2013). Temuan penting penelitian ini menunjukkan bahwa pada kelompok responden yang mengetahui pusat informasi/layanan kesehatan reproduksi, hanya 44% yang pernah datang ke tempat tersebut. </w:t>
      </w:r>
      <w:r w:rsidR="00FB65B3">
        <w:rPr>
          <w:rFonts w:ascii="Times New Roman" w:hAnsi="Times New Roman"/>
          <w:sz w:val="24"/>
          <w:szCs w:val="24"/>
          <w:lang w:val="en-US"/>
        </w:rPr>
        <w:lastRenderedPageBreak/>
        <w:t>Selain itu pengetahuan tentang program kesehatan reproduksi juga masi</w:t>
      </w:r>
      <w:r w:rsidR="00800DF0">
        <w:rPr>
          <w:rFonts w:ascii="Times New Roman" w:hAnsi="Times New Roman"/>
          <w:sz w:val="24"/>
          <w:szCs w:val="24"/>
          <w:lang w:val="en-US"/>
        </w:rPr>
        <w:t>h</w:t>
      </w:r>
      <w:r w:rsidR="00FB65B3">
        <w:rPr>
          <w:rFonts w:ascii="Times New Roman" w:hAnsi="Times New Roman"/>
          <w:sz w:val="24"/>
          <w:szCs w:val="24"/>
          <w:lang w:val="en-US"/>
        </w:rPr>
        <w:t xml:space="preserve"> rendah. Temuan penelitian menunjukkan sebesar 25% mahasiswa mengetahui tentang PKPR dan 45% mengetahui tentang Genre (PIK-R/M). Hal tersebut menunjukkan kurang dari separuh responden mengetahui tentang program yang berkaitan dengan kesehatan reproduksi remaja, padahal responden merupakan mahasiswa kesehatan yang sudah pernah terpapar dengan </w:t>
      </w:r>
      <w:r w:rsidR="00A12BF2">
        <w:rPr>
          <w:rFonts w:ascii="Times New Roman" w:hAnsi="Times New Roman"/>
          <w:sz w:val="24"/>
          <w:szCs w:val="24"/>
          <w:lang w:val="en-US"/>
        </w:rPr>
        <w:t>berbagai informasi tentang program kesehatan</w:t>
      </w:r>
      <w:r w:rsidR="00FB65B3">
        <w:rPr>
          <w:rFonts w:ascii="Times New Roman" w:hAnsi="Times New Roman"/>
          <w:sz w:val="24"/>
          <w:szCs w:val="24"/>
          <w:lang w:val="en-US"/>
        </w:rPr>
        <w:t>.</w:t>
      </w:r>
      <w:r w:rsidR="00A53CC8">
        <w:rPr>
          <w:rFonts w:ascii="Times New Roman" w:hAnsi="Times New Roman"/>
          <w:sz w:val="24"/>
          <w:szCs w:val="24"/>
          <w:lang w:val="en-US"/>
        </w:rPr>
        <w:t xml:space="preserve">Namun peneliti tidak melakukan penelitian lebih lanjut tentang kurikulum pendidikan yang berkaitan dengan program dan informasi kesehatan reproduksi yang diperoleh selama masa pendidikan, sehingga ini merupakan keterbatasan penelitian ini. Hal ini juga menekankan pentingnya untuk melakukan penelitian yang sama dengan responden yang lebih luas yaitu pada semua fakultas baik kesehatan maupun non-kesehatan. </w:t>
      </w:r>
    </w:p>
    <w:p w:rsidR="00FB65B3" w:rsidRDefault="005B57A8" w:rsidP="00FB65B3">
      <w:pPr>
        <w:spacing w:after="0" w:line="360" w:lineRule="auto"/>
        <w:ind w:firstLine="567"/>
        <w:contextualSpacing/>
        <w:jc w:val="both"/>
        <w:rPr>
          <w:rFonts w:ascii="Times New Roman" w:hAnsi="Times New Roman"/>
          <w:sz w:val="24"/>
          <w:szCs w:val="24"/>
          <w:lang w:val="en-US"/>
        </w:rPr>
      </w:pPr>
      <w:r>
        <w:rPr>
          <w:rFonts w:ascii="Times New Roman" w:hAnsi="Times New Roman"/>
          <w:sz w:val="24"/>
          <w:szCs w:val="24"/>
          <w:lang w:val="en-US"/>
        </w:rPr>
        <w:t>Selain akibat kekurangtahuan tentang ketersediaan pelayanan kesehatan, penyebab mahasiswa tidak mengakses pusat informasi kesehatan tersebut adalah akibat menganggap hal</w:t>
      </w:r>
      <w:r w:rsidR="008358D1">
        <w:rPr>
          <w:rFonts w:ascii="Times New Roman" w:hAnsi="Times New Roman"/>
          <w:sz w:val="24"/>
          <w:szCs w:val="24"/>
          <w:lang w:val="en-US"/>
        </w:rPr>
        <w:t xml:space="preserve"> tersebut tidak perlu dilakukan</w:t>
      </w:r>
      <w:r w:rsidR="00A53CC8">
        <w:rPr>
          <w:rFonts w:ascii="Times New Roman" w:hAnsi="Times New Roman"/>
          <w:sz w:val="24"/>
          <w:szCs w:val="24"/>
          <w:lang w:val="en-US"/>
        </w:rPr>
        <w:t xml:space="preserve"> (</w:t>
      </w:r>
      <w:r w:rsidR="000E0336" w:rsidRPr="00E05C09">
        <w:rPr>
          <w:rFonts w:ascii="Times New Roman" w:hAnsi="Times New Roman"/>
          <w:sz w:val="24"/>
          <w:szCs w:val="24"/>
          <w:lang w:val="en-US"/>
        </w:rPr>
        <w:t>Coker dkk, 2010</w:t>
      </w:r>
      <w:r w:rsidR="00A53CC8">
        <w:rPr>
          <w:rFonts w:ascii="Times New Roman" w:hAnsi="Times New Roman"/>
          <w:sz w:val="24"/>
          <w:szCs w:val="24"/>
          <w:lang w:val="en-US"/>
        </w:rPr>
        <w:t>)</w:t>
      </w:r>
      <w:r w:rsidR="008358D1">
        <w:rPr>
          <w:rFonts w:ascii="Times New Roman" w:hAnsi="Times New Roman"/>
          <w:sz w:val="24"/>
          <w:szCs w:val="24"/>
          <w:lang w:val="en-US"/>
        </w:rPr>
        <w:t>.</w:t>
      </w:r>
      <w:r>
        <w:rPr>
          <w:rFonts w:ascii="Times New Roman" w:hAnsi="Times New Roman"/>
          <w:sz w:val="24"/>
          <w:szCs w:val="24"/>
        </w:rPr>
        <w:t xml:space="preserve">Penelitian </w:t>
      </w:r>
      <w:r w:rsidRPr="008358D1">
        <w:rPr>
          <w:rFonts w:ascii="Times New Roman" w:hAnsi="Times New Roman"/>
          <w:sz w:val="24"/>
          <w:szCs w:val="24"/>
        </w:rPr>
        <w:t>Zainafree (2015)</w:t>
      </w:r>
      <w:r>
        <w:rPr>
          <w:rFonts w:ascii="Times New Roman" w:hAnsi="Times New Roman"/>
          <w:sz w:val="24"/>
          <w:szCs w:val="24"/>
        </w:rPr>
        <w:t xml:space="preserve"> pada mahasiswa UNNES menunjukkan </w:t>
      </w:r>
      <w:r w:rsidRPr="00EE2861">
        <w:rPr>
          <w:rFonts w:ascii="Times New Roman" w:hAnsi="Times New Roman"/>
          <w:sz w:val="24"/>
          <w:szCs w:val="24"/>
        </w:rPr>
        <w:t>mahasiswa yang memiliki perilaku berisiko cenderung menilai bahwa layanan kesehatan reproduksi remaja tidak penting karena mahasiswa bisa mengakses informasi secara bebas melalui media massa maupun internet</w:t>
      </w:r>
      <w:r>
        <w:rPr>
          <w:rFonts w:ascii="Times New Roman" w:hAnsi="Times New Roman"/>
          <w:sz w:val="24"/>
          <w:szCs w:val="24"/>
        </w:rPr>
        <w:t xml:space="preserve"> sehingga hal i</w:t>
      </w:r>
      <w:r w:rsidR="008358D1">
        <w:rPr>
          <w:rFonts w:ascii="Times New Roman" w:hAnsi="Times New Roman"/>
          <w:sz w:val="24"/>
          <w:szCs w:val="24"/>
        </w:rPr>
        <w:t>tu menjadi salah satu hambatan</w:t>
      </w:r>
      <w:r w:rsidRPr="00EE2861">
        <w:rPr>
          <w:rFonts w:ascii="Times New Roman" w:hAnsi="Times New Roman"/>
          <w:sz w:val="24"/>
          <w:szCs w:val="24"/>
        </w:rPr>
        <w:t xml:space="preserve"> akses dan informasi mengenai seksualitas dan kesehatan rep</w:t>
      </w:r>
      <w:r w:rsidR="000E0336">
        <w:rPr>
          <w:rFonts w:ascii="Times New Roman" w:hAnsi="Times New Roman"/>
          <w:sz w:val="24"/>
          <w:szCs w:val="24"/>
        </w:rPr>
        <w:t>roduksi bagi remaja melalui tenaga kesehatan</w:t>
      </w:r>
      <w:r>
        <w:rPr>
          <w:rFonts w:ascii="Times New Roman" w:hAnsi="Times New Roman"/>
          <w:sz w:val="24"/>
          <w:szCs w:val="24"/>
        </w:rPr>
        <w:t>.</w:t>
      </w:r>
      <w:r w:rsidR="00A12BF2">
        <w:rPr>
          <w:rFonts w:ascii="Times New Roman" w:hAnsi="Times New Roman"/>
          <w:sz w:val="24"/>
          <w:szCs w:val="24"/>
          <w:lang w:val="en-US"/>
        </w:rPr>
        <w:t>Hal tersebut menunjukkan urgensi untuk melakukan penelitian tentang akses informasi kesehatan reproduksi pada faku</w:t>
      </w:r>
      <w:r w:rsidR="008358D1">
        <w:rPr>
          <w:rFonts w:ascii="Times New Roman" w:hAnsi="Times New Roman"/>
          <w:sz w:val="24"/>
          <w:szCs w:val="24"/>
          <w:lang w:val="en-US"/>
        </w:rPr>
        <w:t>ltas non-kesehatan</w:t>
      </w:r>
      <w:r w:rsidR="00A12BF2">
        <w:rPr>
          <w:rFonts w:ascii="Times New Roman" w:hAnsi="Times New Roman"/>
          <w:sz w:val="24"/>
          <w:szCs w:val="24"/>
          <w:lang w:val="en-US"/>
        </w:rPr>
        <w:t xml:space="preserve"> beserta faktor-faktor yang dapat mempengaruhinya.</w:t>
      </w:r>
      <w:r w:rsidR="008358D1">
        <w:rPr>
          <w:rFonts w:ascii="Times New Roman" w:hAnsi="Times New Roman"/>
          <w:sz w:val="24"/>
          <w:szCs w:val="24"/>
          <w:lang w:val="en-US"/>
        </w:rPr>
        <w:t xml:space="preserve"> Untuk dapat meningkatkan pemahaman tentang akses informasi kesehata</w:t>
      </w:r>
      <w:r w:rsidR="000E0336">
        <w:rPr>
          <w:rFonts w:ascii="Times New Roman" w:hAnsi="Times New Roman"/>
          <w:sz w:val="24"/>
          <w:szCs w:val="24"/>
          <w:lang w:val="en-US"/>
        </w:rPr>
        <w:t>n reproduksi pada mahasiswa</w:t>
      </w:r>
      <w:r w:rsidR="008358D1">
        <w:rPr>
          <w:rFonts w:ascii="Times New Roman" w:hAnsi="Times New Roman"/>
          <w:sz w:val="24"/>
          <w:szCs w:val="24"/>
          <w:lang w:val="en-US"/>
        </w:rPr>
        <w:t xml:space="preserve"> umumnya yang tidak sering terpapar informasi mengenai kesehatan.</w:t>
      </w:r>
    </w:p>
    <w:p w:rsidR="00CC04A2" w:rsidRDefault="003A1979" w:rsidP="003A1979">
      <w:pPr>
        <w:spacing w:after="0" w:line="360" w:lineRule="auto"/>
        <w:ind w:firstLine="567"/>
        <w:contextualSpacing/>
        <w:jc w:val="both"/>
        <w:rPr>
          <w:rFonts w:ascii="Times New Roman" w:hAnsi="Times New Roman"/>
          <w:sz w:val="24"/>
          <w:szCs w:val="24"/>
          <w:lang w:val="en-US"/>
        </w:rPr>
      </w:pPr>
      <w:r>
        <w:rPr>
          <w:rFonts w:ascii="Times New Roman" w:hAnsi="Times New Roman"/>
          <w:sz w:val="24"/>
          <w:szCs w:val="24"/>
          <w:lang w:val="en-US"/>
        </w:rPr>
        <w:t>Untuk mengatasi hambatan akses kognitif tersebut terdapat</w:t>
      </w:r>
      <w:r w:rsidR="00DD4FF6">
        <w:rPr>
          <w:rFonts w:ascii="Times New Roman" w:hAnsi="Times New Roman"/>
          <w:sz w:val="24"/>
          <w:szCs w:val="24"/>
          <w:lang w:val="en-US"/>
        </w:rPr>
        <w:t xml:space="preserve"> beberapa</w:t>
      </w:r>
      <w:r>
        <w:rPr>
          <w:rFonts w:ascii="Times New Roman" w:hAnsi="Times New Roman"/>
          <w:sz w:val="24"/>
          <w:szCs w:val="24"/>
          <w:lang w:val="en-US"/>
        </w:rPr>
        <w:t xml:space="preserve"> pilihan intervensi yang dapat dipilih. </w:t>
      </w:r>
      <w:r w:rsidR="00800DF0">
        <w:rPr>
          <w:rFonts w:ascii="Times New Roman" w:hAnsi="Times New Roman"/>
          <w:sz w:val="24"/>
          <w:szCs w:val="24"/>
          <w:lang w:val="en-US"/>
        </w:rPr>
        <w:t>Kesterton dan Mello (2010) menunjukkan berdasarkan temuan studi review sistematis, menyatakan terdapat beberapa intervensi yang efektif untuk meningkatkan akses remaja pada pusat informasi/pelayanan kesehatan</w:t>
      </w:r>
      <w:r w:rsidR="008358D1">
        <w:rPr>
          <w:rFonts w:ascii="Times New Roman" w:hAnsi="Times New Roman"/>
          <w:sz w:val="24"/>
          <w:szCs w:val="24"/>
          <w:lang w:val="en-US"/>
        </w:rPr>
        <w:t xml:space="preserve"> reproduksi</w:t>
      </w:r>
      <w:r w:rsidR="00800DF0">
        <w:rPr>
          <w:rFonts w:ascii="Times New Roman" w:hAnsi="Times New Roman"/>
          <w:sz w:val="24"/>
          <w:szCs w:val="24"/>
          <w:lang w:val="en-US"/>
        </w:rPr>
        <w:t xml:space="preserve"> remaja. Salah satunya yaitu dengan menghubungkan pusat pelayanan tersebut dengan program pendidikan</w:t>
      </w:r>
      <w:r>
        <w:rPr>
          <w:rFonts w:ascii="Times New Roman" w:hAnsi="Times New Roman"/>
          <w:sz w:val="24"/>
          <w:szCs w:val="24"/>
          <w:lang w:val="en-US"/>
        </w:rPr>
        <w:t xml:space="preserve"> di</w:t>
      </w:r>
      <w:r w:rsidR="00800DF0">
        <w:rPr>
          <w:rFonts w:ascii="Times New Roman" w:hAnsi="Times New Roman"/>
          <w:sz w:val="24"/>
          <w:szCs w:val="24"/>
          <w:lang w:val="en-US"/>
        </w:rPr>
        <w:t xml:space="preserve"> lembaga pendidikan.</w:t>
      </w:r>
      <w:r>
        <w:rPr>
          <w:rFonts w:ascii="Times New Roman" w:hAnsi="Times New Roman"/>
          <w:sz w:val="24"/>
          <w:szCs w:val="24"/>
          <w:lang w:val="en-US"/>
        </w:rPr>
        <w:t xml:space="preserve"> Penghubung tersebut dapat berupa sistem rujukan antara pelayanan kesehatan dengan lembaga pendidikan.</w:t>
      </w:r>
      <w:r w:rsidR="00800DF0">
        <w:rPr>
          <w:rFonts w:ascii="Times New Roman" w:hAnsi="Times New Roman"/>
          <w:sz w:val="24"/>
          <w:szCs w:val="24"/>
          <w:lang w:val="en-US"/>
        </w:rPr>
        <w:t xml:space="preserve"> Sehingga dapat mengurangi berbagai hambatan akses yang dapat muncul jika berfokus pada</w:t>
      </w:r>
      <w:r>
        <w:rPr>
          <w:rFonts w:ascii="Times New Roman" w:hAnsi="Times New Roman"/>
          <w:sz w:val="24"/>
          <w:szCs w:val="24"/>
          <w:lang w:val="en-US"/>
        </w:rPr>
        <w:t xml:space="preserve"> pusat </w:t>
      </w:r>
      <w:r w:rsidR="00800DF0">
        <w:rPr>
          <w:rFonts w:ascii="Times New Roman" w:hAnsi="Times New Roman"/>
          <w:sz w:val="24"/>
          <w:szCs w:val="24"/>
          <w:lang w:val="en-US"/>
        </w:rPr>
        <w:t xml:space="preserve">informasi dan pelayanan dengan tenaga kesehatan atau di fasilitas kesehatan. </w:t>
      </w:r>
    </w:p>
    <w:p w:rsidR="00FB65B3" w:rsidRDefault="00FB65B3" w:rsidP="009740AF">
      <w:pPr>
        <w:pStyle w:val="ListParagraph"/>
        <w:tabs>
          <w:tab w:val="left" w:pos="284"/>
          <w:tab w:val="left" w:pos="567"/>
        </w:tabs>
        <w:spacing w:after="0" w:line="360" w:lineRule="auto"/>
        <w:ind w:left="0" w:firstLine="567"/>
        <w:jc w:val="both"/>
        <w:rPr>
          <w:rFonts w:ascii="Times New Roman" w:hAnsi="Times New Roman"/>
          <w:sz w:val="24"/>
          <w:szCs w:val="24"/>
          <w:lang w:val="en-US"/>
        </w:rPr>
      </w:pPr>
      <w:r>
        <w:rPr>
          <w:rFonts w:ascii="Times New Roman" w:hAnsi="Times New Roman"/>
          <w:sz w:val="24"/>
          <w:szCs w:val="24"/>
          <w:lang w:val="en-US"/>
        </w:rPr>
        <w:t>H</w:t>
      </w:r>
      <w:r w:rsidR="00D310DD">
        <w:rPr>
          <w:rFonts w:ascii="Times New Roman" w:hAnsi="Times New Roman"/>
          <w:sz w:val="24"/>
          <w:szCs w:val="24"/>
          <w:lang w:val="en-US"/>
        </w:rPr>
        <w:t xml:space="preserve">ambatan psikosial dapat menunjukkan adanya hambatan pada penerimaan sumber pelayanan kesehatan. </w:t>
      </w:r>
      <w:r w:rsidR="000E0336">
        <w:rPr>
          <w:rFonts w:ascii="Times New Roman" w:hAnsi="Times New Roman"/>
          <w:sz w:val="24"/>
          <w:szCs w:val="24"/>
          <w:lang w:val="en-US"/>
        </w:rPr>
        <w:t>B</w:t>
      </w:r>
      <w:r w:rsidR="005B5439" w:rsidRPr="00842A7D">
        <w:rPr>
          <w:rFonts w:ascii="Times New Roman" w:hAnsi="Times New Roman"/>
          <w:sz w:val="24"/>
          <w:szCs w:val="24"/>
        </w:rPr>
        <w:t xml:space="preserve">udaya </w:t>
      </w:r>
      <w:r w:rsidR="000E0336">
        <w:rPr>
          <w:rFonts w:ascii="Times New Roman" w:hAnsi="Times New Roman"/>
          <w:sz w:val="24"/>
          <w:szCs w:val="24"/>
        </w:rPr>
        <w:t xml:space="preserve">juga menyebabkan remaja </w:t>
      </w:r>
      <w:r w:rsidR="005B5439" w:rsidRPr="00842A7D">
        <w:rPr>
          <w:rFonts w:ascii="Times New Roman" w:hAnsi="Times New Roman"/>
          <w:sz w:val="24"/>
          <w:szCs w:val="24"/>
        </w:rPr>
        <w:t xml:space="preserve">kesulitan secara terbuka </w:t>
      </w:r>
      <w:r w:rsidR="005B5439" w:rsidRPr="00842A7D">
        <w:rPr>
          <w:rFonts w:ascii="Times New Roman" w:hAnsi="Times New Roman"/>
          <w:sz w:val="24"/>
          <w:szCs w:val="24"/>
        </w:rPr>
        <w:lastRenderedPageBreak/>
        <w:t xml:space="preserve">mendapatkan pengetahuan mengenai seksualitas dan reproduksi. </w:t>
      </w:r>
      <w:r w:rsidR="000E0336">
        <w:rPr>
          <w:rFonts w:ascii="Times New Roman" w:hAnsi="Times New Roman"/>
          <w:sz w:val="24"/>
          <w:szCs w:val="24"/>
        </w:rPr>
        <w:t>Stigma social</w:t>
      </w:r>
      <w:r w:rsidR="000E0336">
        <w:rPr>
          <w:rFonts w:ascii="Times New Roman" w:hAnsi="Times New Roman"/>
          <w:sz w:val="24"/>
          <w:szCs w:val="24"/>
          <w:lang w:val="en-US"/>
        </w:rPr>
        <w:t xml:space="preserve"> berupa tabu dalam membicarakan seksualitas dan kesehatan reproduksi</w:t>
      </w:r>
      <w:r w:rsidR="005B5439" w:rsidRPr="00842A7D">
        <w:rPr>
          <w:rFonts w:ascii="Times New Roman" w:hAnsi="Times New Roman"/>
          <w:sz w:val="24"/>
          <w:szCs w:val="24"/>
        </w:rPr>
        <w:t xml:space="preserve"> membatasi ruang pendidikan dan sosial untuk memberikan pengetahuan pada remaja mengenai </w:t>
      </w:r>
      <w:r w:rsidR="000E0336">
        <w:rPr>
          <w:rFonts w:ascii="Times New Roman" w:hAnsi="Times New Roman"/>
          <w:sz w:val="24"/>
          <w:szCs w:val="24"/>
          <w:lang w:val="en-US"/>
        </w:rPr>
        <w:t>hal tersebut</w:t>
      </w:r>
      <w:r w:rsidR="005B5439">
        <w:rPr>
          <w:rFonts w:ascii="Times New Roman" w:hAnsi="Times New Roman"/>
          <w:sz w:val="24"/>
          <w:szCs w:val="24"/>
        </w:rPr>
        <w:t>.</w:t>
      </w:r>
      <w:r>
        <w:rPr>
          <w:rFonts w:ascii="Times New Roman" w:hAnsi="Times New Roman"/>
          <w:sz w:val="24"/>
          <w:szCs w:val="24"/>
          <w:lang w:val="en-US"/>
        </w:rPr>
        <w:t>Penelitian menunjukkan alasan remaja tidak mendatangi pusat informasi/ konseling adalah dikarenakan merasa malu dan tidak percaya diri dan tidak dapat mempercayai tenaga kesehatan untuk dapat bercerita tentang masalah kesehatan reproduksinya</w:t>
      </w:r>
      <w:r w:rsidR="00872BED">
        <w:rPr>
          <w:rFonts w:ascii="Times New Roman" w:hAnsi="Times New Roman"/>
          <w:sz w:val="24"/>
          <w:szCs w:val="24"/>
          <w:lang w:val="en-US"/>
        </w:rPr>
        <w:t xml:space="preserve"> (Agampodi dkk, 2008)</w:t>
      </w:r>
      <w:r w:rsidR="000E0336">
        <w:rPr>
          <w:rFonts w:ascii="Times New Roman" w:hAnsi="Times New Roman"/>
          <w:sz w:val="24"/>
          <w:szCs w:val="24"/>
          <w:lang w:val="en-US"/>
        </w:rPr>
        <w:t>.</w:t>
      </w:r>
      <w:r w:rsidR="00872BED">
        <w:rPr>
          <w:rFonts w:ascii="Times New Roman" w:hAnsi="Times New Roman"/>
          <w:sz w:val="24"/>
          <w:szCs w:val="24"/>
          <w:lang w:val="en-US"/>
        </w:rPr>
        <w:t xml:space="preserve"> Penelitian tentang peta pencarian informasi kesehatan reproduksi pada remaja mengonkonfirmasi bahwa remaja perempuan lebih mengutamakan untuk berdiskusi dengan ibu maupun teman sebagai pilihan pertama untuk berdiskusi jika mengalami masalah kesehatan reproduksi</w:t>
      </w:r>
      <w:r w:rsidR="00565448">
        <w:rPr>
          <w:rFonts w:ascii="Times New Roman" w:hAnsi="Times New Roman"/>
          <w:sz w:val="24"/>
          <w:szCs w:val="24"/>
          <w:lang w:val="en-US"/>
        </w:rPr>
        <w:t>, kemudian dikonfirmasi dari media informasi seperti internet</w:t>
      </w:r>
      <w:r w:rsidR="00872BED">
        <w:rPr>
          <w:rFonts w:ascii="Times New Roman" w:hAnsi="Times New Roman"/>
          <w:sz w:val="24"/>
          <w:szCs w:val="24"/>
          <w:lang w:val="en-US"/>
        </w:rPr>
        <w:t xml:space="preserve">. Sementara untuk remaja putra menjadikan media informasi internet sebagai sumber utama, kemudian sumber informasi dari teman kemudian guru. </w:t>
      </w:r>
      <w:r w:rsidR="00565448">
        <w:rPr>
          <w:rFonts w:ascii="Times New Roman" w:hAnsi="Times New Roman"/>
          <w:sz w:val="24"/>
          <w:szCs w:val="24"/>
          <w:lang w:val="en-US"/>
        </w:rPr>
        <w:t>Alasan penggunaan media internet sebagai rujukan adalah melalui media internet remaja putra lebih bebas untuk mengakses informasi yang diang</w:t>
      </w:r>
      <w:r w:rsidR="002C4587">
        <w:rPr>
          <w:rFonts w:ascii="Times New Roman" w:hAnsi="Times New Roman"/>
          <w:sz w:val="24"/>
          <w:szCs w:val="24"/>
          <w:lang w:val="en-US"/>
        </w:rPr>
        <w:t>gap tabu atau sensitif</w:t>
      </w:r>
      <w:r w:rsidR="00565448">
        <w:rPr>
          <w:rFonts w:ascii="Times New Roman" w:hAnsi="Times New Roman"/>
          <w:sz w:val="24"/>
          <w:szCs w:val="24"/>
          <w:lang w:val="en-US"/>
        </w:rPr>
        <w:t xml:space="preserve"> seperti masalah kesehatan re</w:t>
      </w:r>
      <w:r w:rsidR="00D02C29">
        <w:rPr>
          <w:rFonts w:ascii="Times New Roman" w:hAnsi="Times New Roman"/>
          <w:sz w:val="24"/>
          <w:szCs w:val="24"/>
          <w:lang w:val="en-US"/>
        </w:rPr>
        <w:t>produksi (Kurniasi dan Komariah</w:t>
      </w:r>
      <w:r w:rsidR="00565448">
        <w:rPr>
          <w:rFonts w:ascii="Times New Roman" w:hAnsi="Times New Roman"/>
          <w:sz w:val="24"/>
          <w:szCs w:val="24"/>
          <w:lang w:val="en-US"/>
        </w:rPr>
        <w:t>, 2017)</w:t>
      </w:r>
      <w:r w:rsidR="002C4587">
        <w:rPr>
          <w:rFonts w:ascii="Times New Roman" w:hAnsi="Times New Roman"/>
          <w:sz w:val="24"/>
          <w:szCs w:val="24"/>
          <w:lang w:val="en-US"/>
        </w:rPr>
        <w:t>.</w:t>
      </w:r>
      <w:r w:rsidR="000E0336">
        <w:rPr>
          <w:rFonts w:ascii="Times New Roman" w:hAnsi="Times New Roman"/>
          <w:sz w:val="24"/>
          <w:szCs w:val="24"/>
          <w:lang w:val="en-US"/>
        </w:rPr>
        <w:t xml:space="preserve"> Penyediaan pusat informasi dan pelayanan kesehatan reproduksi yang ramah remaja di fasilitas kesehatan merupakan suatu intervensi baru terutama di negara berkembang seperti Indonesia (Alli dkk, 2013). Oleh karena itu diperlukan berbagai kajian untuk dapat mengetahui efektifitasnya serta permasalahan yang dihadapi dalam pelaksanaannya.</w:t>
      </w:r>
    </w:p>
    <w:p w:rsidR="002C4587" w:rsidRDefault="002C4587" w:rsidP="009740AF">
      <w:pPr>
        <w:pStyle w:val="ListParagraph"/>
        <w:tabs>
          <w:tab w:val="left" w:pos="284"/>
          <w:tab w:val="left" w:pos="567"/>
        </w:tabs>
        <w:spacing w:after="0" w:line="360" w:lineRule="auto"/>
        <w:ind w:left="0" w:firstLine="567"/>
        <w:jc w:val="both"/>
        <w:rPr>
          <w:rFonts w:ascii="Times New Roman" w:hAnsi="Times New Roman"/>
          <w:sz w:val="24"/>
          <w:szCs w:val="24"/>
          <w:lang w:val="en-US"/>
        </w:rPr>
      </w:pPr>
      <w:r>
        <w:rPr>
          <w:rFonts w:ascii="Times New Roman" w:hAnsi="Times New Roman"/>
          <w:sz w:val="24"/>
          <w:szCs w:val="24"/>
          <w:lang w:val="en-US"/>
        </w:rPr>
        <w:t>Temuan studi review sistematis Chandra-Mouli, dkk (2015) menunjukkan bahwa salah satu intervensi yang efektif untuk mengurangi hambatan psiko</w:t>
      </w:r>
      <w:r w:rsidR="000E0336">
        <w:rPr>
          <w:rFonts w:ascii="Times New Roman" w:hAnsi="Times New Roman"/>
          <w:sz w:val="24"/>
          <w:szCs w:val="24"/>
          <w:lang w:val="en-US"/>
        </w:rPr>
        <w:t>sosial</w:t>
      </w:r>
      <w:r>
        <w:rPr>
          <w:rFonts w:ascii="Times New Roman" w:hAnsi="Times New Roman"/>
          <w:sz w:val="24"/>
          <w:szCs w:val="24"/>
          <w:lang w:val="en-US"/>
        </w:rPr>
        <w:t xml:space="preserve"> adalah dengan melakukan pelatihan pada tenaga kesehatan agar lebih ramah, tidak menghakimi dan lebih menarik minat remaja untuk datang pada pusat informasi dan pelayanan kesehatan reproduksi. Bersamaan dengan itu juga dilaksanakan penggalangan dukungan dan sosialisasi pada anggota masyarakat agar mendukung remaja untuk menggunakan sumber informasi dan pelayanan tersebut. </w:t>
      </w:r>
    </w:p>
    <w:p w:rsidR="005B5439" w:rsidRDefault="007D1C58" w:rsidP="000D7B13">
      <w:pPr>
        <w:spacing w:after="0" w:line="360" w:lineRule="auto"/>
        <w:ind w:firstLine="567"/>
        <w:contextualSpacing/>
        <w:jc w:val="both"/>
        <w:rPr>
          <w:rFonts w:ascii="Times New Roman" w:hAnsi="Times New Roman"/>
          <w:sz w:val="24"/>
          <w:szCs w:val="24"/>
          <w:lang w:val="en-US"/>
        </w:rPr>
      </w:pPr>
      <w:r>
        <w:rPr>
          <w:rFonts w:ascii="Times New Roman" w:hAnsi="Times New Roman"/>
          <w:sz w:val="24"/>
          <w:szCs w:val="24"/>
          <w:lang w:val="en-US"/>
        </w:rPr>
        <w:t>Hasil penelitian</w:t>
      </w:r>
      <w:r w:rsidR="00565448">
        <w:rPr>
          <w:rFonts w:ascii="Times New Roman" w:hAnsi="Times New Roman"/>
          <w:sz w:val="24"/>
          <w:szCs w:val="24"/>
          <w:lang w:val="en-US"/>
        </w:rPr>
        <w:t xml:space="preserve"> ini</w:t>
      </w:r>
      <w:r>
        <w:rPr>
          <w:rFonts w:ascii="Times New Roman" w:hAnsi="Times New Roman"/>
          <w:sz w:val="24"/>
          <w:szCs w:val="24"/>
          <w:lang w:val="en-US"/>
        </w:rPr>
        <w:t xml:space="preserve"> menunjukkan jenis kelamin </w:t>
      </w:r>
      <w:r w:rsidR="00DD4E78">
        <w:rPr>
          <w:rFonts w:ascii="Times New Roman" w:hAnsi="Times New Roman"/>
          <w:sz w:val="24"/>
          <w:szCs w:val="24"/>
          <w:lang w:val="en-US"/>
        </w:rPr>
        <w:t>memiliki hubungan yang paling kuat yang menentukkan akses informasi keseha</w:t>
      </w:r>
      <w:r w:rsidR="00565448">
        <w:rPr>
          <w:rFonts w:ascii="Times New Roman" w:hAnsi="Times New Roman"/>
          <w:sz w:val="24"/>
          <w:szCs w:val="24"/>
          <w:lang w:val="en-US"/>
        </w:rPr>
        <w:t>tan reproduksi. Akses informasi kesehatan reproduksi cenderung lebih banyak dilakukan oleh remaja putri dibanding putra. Sebuah studi ku</w:t>
      </w:r>
      <w:r w:rsidR="00DD4E78">
        <w:rPr>
          <w:rFonts w:ascii="Times New Roman" w:hAnsi="Times New Roman"/>
          <w:sz w:val="24"/>
          <w:szCs w:val="24"/>
          <w:lang w:val="en-US"/>
        </w:rPr>
        <w:t>a</w:t>
      </w:r>
      <w:r w:rsidR="00565448">
        <w:rPr>
          <w:rFonts w:ascii="Times New Roman" w:hAnsi="Times New Roman"/>
          <w:sz w:val="24"/>
          <w:szCs w:val="24"/>
          <w:lang w:val="en-US"/>
        </w:rPr>
        <w:t>l</w:t>
      </w:r>
      <w:r w:rsidR="00DD4E78">
        <w:rPr>
          <w:rFonts w:ascii="Times New Roman" w:hAnsi="Times New Roman"/>
          <w:sz w:val="24"/>
          <w:szCs w:val="24"/>
          <w:lang w:val="en-US"/>
        </w:rPr>
        <w:t>itatif di Sri Lanka menunjukkan</w:t>
      </w:r>
      <w:r w:rsidR="007B6420">
        <w:rPr>
          <w:rFonts w:ascii="Times New Roman" w:hAnsi="Times New Roman"/>
          <w:sz w:val="24"/>
          <w:szCs w:val="24"/>
          <w:lang w:val="en-US"/>
        </w:rPr>
        <w:t xml:space="preserve"> bahwa pemuda cenderung tidak menyadari ketersediaan pusat informasi/pelayanan kesehatan reproduksi. Selain itu pemuda juga tidak menyukai berbagi cerita tentang kesehatan reproduksi mereka kepada siapapun.</w:t>
      </w:r>
      <w:r w:rsidR="00FB65B3">
        <w:rPr>
          <w:rFonts w:ascii="Times New Roman" w:hAnsi="Times New Roman"/>
          <w:sz w:val="24"/>
          <w:szCs w:val="24"/>
          <w:lang w:val="en-US"/>
        </w:rPr>
        <w:t>Alasan utamanya adalah p</w:t>
      </w:r>
      <w:r>
        <w:rPr>
          <w:rFonts w:ascii="Times New Roman" w:hAnsi="Times New Roman"/>
          <w:sz w:val="24"/>
          <w:szCs w:val="24"/>
          <w:lang w:val="en-US"/>
        </w:rPr>
        <w:t>emuda menganggap bahwa mendatangi suatu pusat informasi/konseling akan mengakibatkan mereka dip</w:t>
      </w:r>
      <w:r w:rsidR="00565448">
        <w:rPr>
          <w:rFonts w:ascii="Times New Roman" w:hAnsi="Times New Roman"/>
          <w:sz w:val="24"/>
          <w:szCs w:val="24"/>
          <w:lang w:val="en-US"/>
        </w:rPr>
        <w:t>inggirkan</w:t>
      </w:r>
      <w:r w:rsidR="00FB65B3">
        <w:rPr>
          <w:rFonts w:ascii="Times New Roman" w:hAnsi="Times New Roman"/>
          <w:sz w:val="24"/>
          <w:szCs w:val="24"/>
          <w:lang w:val="en-US"/>
        </w:rPr>
        <w:t xml:space="preserve"> dari kelompok sebayanya</w:t>
      </w:r>
      <w:r w:rsidR="00565448">
        <w:rPr>
          <w:rFonts w:ascii="Times New Roman" w:hAnsi="Times New Roman"/>
          <w:sz w:val="24"/>
          <w:szCs w:val="24"/>
          <w:lang w:val="en-US"/>
        </w:rPr>
        <w:t xml:space="preserve">. Serta jika remaja putra berbagi cerita tentang masalah kesehatan reproduksi kepada orang tua sebagian besar merasa takut akan dicurigai </w:t>
      </w:r>
      <w:r w:rsidR="00565448">
        <w:rPr>
          <w:rFonts w:ascii="Times New Roman" w:hAnsi="Times New Roman"/>
          <w:sz w:val="24"/>
          <w:szCs w:val="24"/>
          <w:lang w:val="en-US"/>
        </w:rPr>
        <w:lastRenderedPageBreak/>
        <w:t xml:space="preserve">memiliki masalah </w:t>
      </w:r>
      <w:r w:rsidR="00FB65B3">
        <w:rPr>
          <w:rFonts w:ascii="Times New Roman" w:hAnsi="Times New Roman"/>
          <w:sz w:val="24"/>
          <w:szCs w:val="24"/>
          <w:lang w:val="en-US"/>
        </w:rPr>
        <w:t>(Agampodi dkk, 2008).</w:t>
      </w:r>
      <w:r w:rsidR="00DD4FF6">
        <w:rPr>
          <w:rFonts w:ascii="Times New Roman" w:hAnsi="Times New Roman"/>
          <w:sz w:val="24"/>
          <w:szCs w:val="24"/>
          <w:lang w:val="en-US"/>
        </w:rPr>
        <w:t xml:space="preserve">Keterbatasan lain yang mempengaruhi akses remaja pria merupakan aspek kenyamanan dalam mengakses informasi kesehatan reproduksi. </w:t>
      </w:r>
      <w:r w:rsidR="000D7B13">
        <w:rPr>
          <w:rFonts w:ascii="Times New Roman" w:hAnsi="Times New Roman"/>
          <w:sz w:val="24"/>
          <w:szCs w:val="24"/>
          <w:lang w:val="en-US"/>
        </w:rPr>
        <w:t xml:space="preserve">Studi kualitatif oleh Alli dkk (2013) tentang aspek hubungan tenaga kesehatan dan klien yang berhubungan dengan akses pada pelayanan kesehatan adalah kenyamanan dalam berinteraksi. Remaja wanita pada umumnya merasa lebih nyaman dengan tenaga kesehatan perempuan, begitu pula sebaliknya jika remaja laki-laki. </w:t>
      </w:r>
      <w:r w:rsidR="00DD4FF6">
        <w:rPr>
          <w:rFonts w:ascii="Times New Roman" w:hAnsi="Times New Roman"/>
          <w:sz w:val="24"/>
          <w:szCs w:val="24"/>
          <w:lang w:val="en-US"/>
        </w:rPr>
        <w:t>Hal ini berhubungan dengan kebanyakan pengelola pelayanan kesehatan reproduksi di Indonesia adalah perempuan.</w:t>
      </w:r>
      <w:r w:rsidR="00DD4FF6">
        <w:rPr>
          <w:rFonts w:ascii="Times New Roman" w:hAnsi="Times New Roman"/>
          <w:sz w:val="24"/>
          <w:szCs w:val="24"/>
        </w:rPr>
        <w:t xml:space="preserve"> Penelitian </w:t>
      </w:r>
      <w:r w:rsidR="00DD4FF6" w:rsidRPr="005B5439">
        <w:rPr>
          <w:rFonts w:ascii="Times New Roman" w:hAnsi="Times New Roman"/>
          <w:sz w:val="24"/>
          <w:szCs w:val="24"/>
        </w:rPr>
        <w:t>Arfianti, dkk (2017)</w:t>
      </w:r>
      <w:r w:rsidR="00DD4FF6">
        <w:rPr>
          <w:rFonts w:ascii="Times New Roman" w:hAnsi="Times New Roman"/>
          <w:sz w:val="24"/>
          <w:szCs w:val="24"/>
        </w:rPr>
        <w:t xml:space="preserve"> di Puskesmas Kota Banda Aceh menunjukkan karakteristik pengelola pelayanan kesehatan reproduksi yang menjadi petugas PKPR kesemuanya adalah perempuan.</w:t>
      </w:r>
      <w:r w:rsidR="005B5439">
        <w:rPr>
          <w:rFonts w:ascii="Times New Roman" w:hAnsi="Times New Roman"/>
          <w:sz w:val="24"/>
          <w:szCs w:val="24"/>
          <w:lang w:val="en-US"/>
        </w:rPr>
        <w:t xml:space="preserve"> Maka dalam hal akses tentang informasi dan pelayanan kesehatan reproduksi, remaja pria dapat dianggap sebagai salah satu kelompok yang rentan untuk mengalami masalah akibat kurangnya informasi tersebut, serta memerlukan pendekatan yang berbeda. </w:t>
      </w:r>
    </w:p>
    <w:p w:rsidR="000D7B13" w:rsidRDefault="000D7B13" w:rsidP="000D7B13">
      <w:pPr>
        <w:spacing w:after="0" w:line="360" w:lineRule="auto"/>
        <w:ind w:firstLine="567"/>
        <w:contextualSpacing/>
        <w:jc w:val="both"/>
        <w:rPr>
          <w:rFonts w:ascii="Times New Roman" w:hAnsi="Times New Roman"/>
          <w:sz w:val="24"/>
          <w:szCs w:val="24"/>
          <w:lang w:val="en-US"/>
        </w:rPr>
      </w:pPr>
    </w:p>
    <w:p w:rsidR="00CB612C" w:rsidRDefault="00F10488" w:rsidP="00F10488">
      <w:pPr>
        <w:pStyle w:val="ListParagraph"/>
        <w:spacing w:after="0" w:line="240" w:lineRule="auto"/>
        <w:ind w:left="0"/>
        <w:jc w:val="both"/>
        <w:rPr>
          <w:rFonts w:ascii="Times New Roman" w:hAnsi="Times New Roman"/>
          <w:b/>
          <w:sz w:val="24"/>
          <w:szCs w:val="24"/>
        </w:rPr>
      </w:pPr>
      <w:r w:rsidRPr="00F56C23">
        <w:rPr>
          <w:rFonts w:ascii="Times New Roman" w:hAnsi="Times New Roman"/>
          <w:b/>
          <w:sz w:val="24"/>
          <w:szCs w:val="24"/>
        </w:rPr>
        <w:t xml:space="preserve">KESIMPULAN </w:t>
      </w:r>
    </w:p>
    <w:p w:rsidR="00B11221" w:rsidRPr="00F56C23" w:rsidRDefault="00B11221" w:rsidP="00F10488">
      <w:pPr>
        <w:pStyle w:val="ListParagraph"/>
        <w:spacing w:after="0" w:line="240" w:lineRule="auto"/>
        <w:ind w:left="0"/>
        <w:jc w:val="both"/>
        <w:rPr>
          <w:rFonts w:ascii="Times New Roman" w:hAnsi="Times New Roman"/>
          <w:b/>
          <w:sz w:val="24"/>
          <w:szCs w:val="24"/>
        </w:rPr>
      </w:pPr>
    </w:p>
    <w:p w:rsidR="00F50B8D" w:rsidRDefault="00612655" w:rsidP="005F26C3">
      <w:pPr>
        <w:spacing w:after="0" w:line="360" w:lineRule="auto"/>
        <w:ind w:firstLine="567"/>
        <w:contextualSpacing/>
        <w:jc w:val="both"/>
        <w:rPr>
          <w:rFonts w:ascii="Times New Roman" w:hAnsi="Times New Roman"/>
          <w:sz w:val="24"/>
          <w:szCs w:val="24"/>
        </w:rPr>
      </w:pPr>
      <w:r>
        <w:rPr>
          <w:rFonts w:ascii="Times New Roman" w:hAnsi="Times New Roman"/>
          <w:sz w:val="24"/>
          <w:szCs w:val="24"/>
          <w:lang w:val="en-US"/>
        </w:rPr>
        <w:t>Terdapat hubungan yang bermakna antara hambatan akses kognitif setelah mempertimbangkan variabel lain yaitu hambatan akses psikososial dan jenis kelamin (p&lt;0,050). Terdapat kecenderungan responden yang mengakses informasi kesehatan reproduksi lebih tinggi pada kelompok yang tidak mengalami hambatan dibanding yang mengalami hambatan akses kognitif. Ada hubungan yang bermakna antara hambatan akses psikososial dan jenis kelamin dengan akses informasi kesehatan reproduksi. Tidak terdapat hubungan antara tingkat penghasilan orang tua dengan akses informasi kesehatan reproduksi</w:t>
      </w:r>
      <w:r w:rsidR="005B5439">
        <w:rPr>
          <w:rFonts w:ascii="Times New Roman" w:hAnsi="Times New Roman"/>
          <w:sz w:val="24"/>
          <w:szCs w:val="24"/>
          <w:lang w:val="en-US"/>
        </w:rPr>
        <w:t>.</w:t>
      </w:r>
      <w:r w:rsidR="000D7B13">
        <w:rPr>
          <w:rFonts w:ascii="Times New Roman" w:hAnsi="Times New Roman"/>
          <w:sz w:val="24"/>
          <w:szCs w:val="24"/>
          <w:lang w:val="en-US"/>
        </w:rPr>
        <w:t xml:space="preserve"> Penelitian ini dapat menjadi landasan untuk melakukan intervensi </w:t>
      </w:r>
      <w:r w:rsidR="00D02C29">
        <w:rPr>
          <w:rFonts w:ascii="Times New Roman" w:hAnsi="Times New Roman"/>
          <w:sz w:val="24"/>
          <w:szCs w:val="24"/>
          <w:lang w:val="en-US"/>
        </w:rPr>
        <w:t xml:space="preserve">atau perbaikan program kesehatan reproduksi yang sudah ada </w:t>
      </w:r>
      <w:r w:rsidR="000D7B13">
        <w:rPr>
          <w:rFonts w:ascii="Times New Roman" w:hAnsi="Times New Roman"/>
          <w:sz w:val="24"/>
          <w:szCs w:val="24"/>
          <w:lang w:val="en-US"/>
        </w:rPr>
        <w:t>untuk mengurangi hambatan kognitif dan psikososial yang dialami oleh mahasiswa khusu</w:t>
      </w:r>
      <w:r w:rsidR="00D02C29">
        <w:rPr>
          <w:rFonts w:ascii="Times New Roman" w:hAnsi="Times New Roman"/>
          <w:sz w:val="24"/>
          <w:szCs w:val="24"/>
          <w:lang w:val="en-US"/>
        </w:rPr>
        <w:t>s</w:t>
      </w:r>
      <w:r w:rsidR="000D7B13">
        <w:rPr>
          <w:rFonts w:ascii="Times New Roman" w:hAnsi="Times New Roman"/>
          <w:sz w:val="24"/>
          <w:szCs w:val="24"/>
          <w:lang w:val="en-US"/>
        </w:rPr>
        <w:t>nya</w:t>
      </w:r>
      <w:r w:rsidR="00D02C29">
        <w:rPr>
          <w:rFonts w:ascii="Times New Roman" w:hAnsi="Times New Roman"/>
          <w:sz w:val="24"/>
          <w:szCs w:val="24"/>
          <w:lang w:val="en-US"/>
        </w:rPr>
        <w:t xml:space="preserve"> untuk remaja laki-laki</w:t>
      </w:r>
      <w:r w:rsidR="000D7B13">
        <w:rPr>
          <w:rFonts w:ascii="Times New Roman" w:hAnsi="Times New Roman"/>
          <w:sz w:val="24"/>
          <w:szCs w:val="24"/>
          <w:lang w:val="en-US"/>
        </w:rPr>
        <w:t xml:space="preserve"> dalam upaya untuk meningkatkan akses mahasiswa pada informasi kesehatan reproduksi. Selain itu perlu </w:t>
      </w:r>
      <w:r w:rsidR="00352A90">
        <w:rPr>
          <w:rFonts w:ascii="Times New Roman" w:hAnsi="Times New Roman"/>
          <w:sz w:val="24"/>
          <w:szCs w:val="24"/>
          <w:lang w:val="en-US"/>
        </w:rPr>
        <w:t>dilakukan penelitian serupatentang</w:t>
      </w:r>
      <w:r w:rsidR="000D7B13">
        <w:rPr>
          <w:rFonts w:ascii="Times New Roman" w:hAnsi="Times New Roman"/>
          <w:sz w:val="24"/>
          <w:szCs w:val="24"/>
          <w:lang w:val="en-US"/>
        </w:rPr>
        <w:t xml:space="preserve"> akses informasi kesehatan reproduksi pada fakultas kesehatan dan non-kesehatan serta mengkaji hambatan-hambatan yang dialami</w:t>
      </w:r>
      <w:r w:rsidR="00D02C29">
        <w:rPr>
          <w:rFonts w:ascii="Times New Roman" w:hAnsi="Times New Roman"/>
          <w:sz w:val="24"/>
          <w:szCs w:val="24"/>
          <w:lang w:val="en-US"/>
        </w:rPr>
        <w:t>.</w:t>
      </w:r>
    </w:p>
    <w:p w:rsidR="00B4763D" w:rsidRDefault="00B4763D" w:rsidP="00B4763D">
      <w:pPr>
        <w:spacing w:after="0" w:line="360" w:lineRule="auto"/>
        <w:contextualSpacing/>
        <w:jc w:val="both"/>
        <w:rPr>
          <w:rFonts w:ascii="Times New Roman" w:hAnsi="Times New Roman"/>
          <w:sz w:val="24"/>
          <w:szCs w:val="24"/>
        </w:rPr>
      </w:pPr>
    </w:p>
    <w:p w:rsidR="00B4763D" w:rsidRDefault="00B4763D" w:rsidP="00B4763D">
      <w:pPr>
        <w:spacing w:after="0" w:line="360" w:lineRule="auto"/>
        <w:contextualSpacing/>
        <w:jc w:val="both"/>
        <w:rPr>
          <w:rFonts w:ascii="Times New Roman" w:hAnsi="Times New Roman"/>
          <w:sz w:val="24"/>
          <w:szCs w:val="24"/>
        </w:rPr>
        <w:sectPr w:rsidR="00B4763D" w:rsidSect="00EE0451">
          <w:type w:val="continuous"/>
          <w:pgSz w:w="11906" w:h="16838" w:code="9"/>
          <w:pgMar w:top="1418" w:right="1418" w:bottom="1418" w:left="1418" w:header="709" w:footer="709" w:gutter="0"/>
          <w:cols w:space="282"/>
          <w:docGrid w:linePitch="360"/>
        </w:sectPr>
      </w:pPr>
    </w:p>
    <w:p w:rsidR="00B11221" w:rsidRDefault="00B11221" w:rsidP="00B4763D">
      <w:pPr>
        <w:tabs>
          <w:tab w:val="left" w:pos="142"/>
          <w:tab w:val="left" w:pos="284"/>
        </w:tabs>
        <w:spacing w:after="0" w:line="240" w:lineRule="auto"/>
        <w:ind w:left="-284"/>
        <w:jc w:val="both"/>
        <w:rPr>
          <w:rFonts w:ascii="Times New Roman" w:hAnsi="Times New Roman"/>
          <w:b/>
          <w:sz w:val="24"/>
          <w:szCs w:val="24"/>
        </w:rPr>
      </w:pPr>
      <w:r w:rsidRPr="00B4763D">
        <w:rPr>
          <w:rFonts w:ascii="Times New Roman" w:hAnsi="Times New Roman"/>
          <w:b/>
          <w:sz w:val="24"/>
          <w:szCs w:val="24"/>
        </w:rPr>
        <w:lastRenderedPageBreak/>
        <w:t>DAFTAR PUSTAKA</w:t>
      </w:r>
    </w:p>
    <w:p w:rsidR="00E05C09" w:rsidRDefault="00E05C09" w:rsidP="00B4763D">
      <w:pPr>
        <w:tabs>
          <w:tab w:val="left" w:pos="142"/>
          <w:tab w:val="left" w:pos="284"/>
        </w:tabs>
        <w:spacing w:after="0" w:line="240" w:lineRule="auto"/>
        <w:ind w:left="-284"/>
        <w:jc w:val="both"/>
        <w:rPr>
          <w:rFonts w:ascii="Times New Roman" w:hAnsi="Times New Roman"/>
          <w:b/>
          <w:sz w:val="24"/>
          <w:szCs w:val="24"/>
        </w:rPr>
      </w:pPr>
    </w:p>
    <w:p w:rsidR="00B4763D" w:rsidRPr="00E05C09" w:rsidRDefault="00E05C09" w:rsidP="00E05C09">
      <w:pPr>
        <w:spacing w:line="240" w:lineRule="auto"/>
        <w:ind w:left="426" w:hanging="720"/>
        <w:jc w:val="both"/>
        <w:rPr>
          <w:rFonts w:ascii="Times New Roman" w:hAnsi="Times New Roman"/>
          <w:sz w:val="24"/>
          <w:szCs w:val="24"/>
        </w:rPr>
      </w:pPr>
      <w:r w:rsidRPr="00E05C09">
        <w:rPr>
          <w:rFonts w:ascii="Times New Roman" w:hAnsi="Times New Roman"/>
          <w:sz w:val="24"/>
          <w:szCs w:val="24"/>
        </w:rPr>
        <w:t>Alli, F., Maharaj, P., &amp; Vawda, M. Y. (2013). Interpersonal relations between health care workers and young clients: barriers to accessing sexual and reproductive health care. </w:t>
      </w:r>
      <w:r w:rsidRPr="00E05C09">
        <w:rPr>
          <w:rFonts w:ascii="Times New Roman" w:hAnsi="Times New Roman"/>
          <w:i/>
          <w:iCs/>
          <w:sz w:val="24"/>
          <w:szCs w:val="24"/>
        </w:rPr>
        <w:t>Journal of community health</w:t>
      </w:r>
      <w:r w:rsidRPr="00E05C09">
        <w:rPr>
          <w:rFonts w:ascii="Times New Roman" w:hAnsi="Times New Roman"/>
          <w:sz w:val="24"/>
          <w:szCs w:val="24"/>
        </w:rPr>
        <w:t>, </w:t>
      </w:r>
      <w:r w:rsidRPr="00E05C09">
        <w:rPr>
          <w:rFonts w:ascii="Times New Roman" w:hAnsi="Times New Roman"/>
          <w:i/>
          <w:iCs/>
          <w:sz w:val="24"/>
          <w:szCs w:val="24"/>
        </w:rPr>
        <w:t>38</w:t>
      </w:r>
      <w:r w:rsidRPr="00E05C09">
        <w:rPr>
          <w:rFonts w:ascii="Times New Roman" w:hAnsi="Times New Roman"/>
          <w:sz w:val="24"/>
          <w:szCs w:val="24"/>
        </w:rPr>
        <w:t>(1), 150-155.</w:t>
      </w:r>
    </w:p>
    <w:p w:rsidR="005B57A8" w:rsidRDefault="005B57A8" w:rsidP="005B57A8">
      <w:pPr>
        <w:spacing w:line="240" w:lineRule="auto"/>
        <w:ind w:left="426" w:hanging="720"/>
        <w:jc w:val="both"/>
        <w:rPr>
          <w:rFonts w:ascii="Times New Roman" w:hAnsi="Times New Roman"/>
          <w:color w:val="000000"/>
          <w:sz w:val="24"/>
          <w:szCs w:val="24"/>
        </w:rPr>
      </w:pPr>
      <w:r w:rsidRPr="005B57A8">
        <w:rPr>
          <w:rFonts w:ascii="Times New Roman" w:hAnsi="Times New Roman"/>
          <w:color w:val="000000"/>
          <w:sz w:val="24"/>
          <w:szCs w:val="24"/>
        </w:rPr>
        <w:lastRenderedPageBreak/>
        <w:t>Agampodi, S. B., Agampodi, T. C., &amp; Piyaseeli, U. K. D. (2008). Adolescents perception of reproductive health care services in Sri Lanka. BMC health services research, 8(1), 98.</w:t>
      </w:r>
    </w:p>
    <w:p w:rsidR="005B57A8" w:rsidRDefault="005B57A8" w:rsidP="005B57A8">
      <w:pPr>
        <w:spacing w:line="240" w:lineRule="auto"/>
        <w:ind w:left="426" w:hanging="720"/>
        <w:jc w:val="both"/>
        <w:rPr>
          <w:rFonts w:ascii="Times New Roman" w:hAnsi="Times New Roman"/>
          <w:color w:val="000000"/>
          <w:sz w:val="24"/>
          <w:szCs w:val="24"/>
        </w:rPr>
      </w:pPr>
      <w:r w:rsidRPr="005B57A8">
        <w:rPr>
          <w:rFonts w:ascii="Times New Roman" w:hAnsi="Times New Roman"/>
          <w:color w:val="000000"/>
          <w:sz w:val="24"/>
          <w:szCs w:val="24"/>
        </w:rPr>
        <w:t>Arfianti, Novi., Mudatsir., dan Tahlil, Teuku. (2017). Analisis Implementasi Program Pelayanan Kesehatan Peduli Remaja (PKPR). Jurnal Ilmu Keperawatan (2017)5:2 IS</w:t>
      </w:r>
      <w:r>
        <w:rPr>
          <w:rFonts w:ascii="Times New Roman" w:hAnsi="Times New Roman"/>
          <w:color w:val="000000"/>
          <w:sz w:val="24"/>
          <w:szCs w:val="24"/>
        </w:rPr>
        <w:t>SN: 2338-6371</w:t>
      </w:r>
    </w:p>
    <w:p w:rsidR="005B57A8" w:rsidRDefault="005B57A8" w:rsidP="005B57A8">
      <w:pPr>
        <w:spacing w:line="240" w:lineRule="auto"/>
        <w:ind w:left="426" w:hanging="720"/>
        <w:jc w:val="both"/>
        <w:rPr>
          <w:rFonts w:ascii="Times New Roman" w:hAnsi="Times New Roman"/>
          <w:color w:val="000000"/>
          <w:sz w:val="24"/>
          <w:szCs w:val="24"/>
        </w:rPr>
      </w:pPr>
      <w:bookmarkStart w:id="0" w:name="_ENREF_17"/>
      <w:r w:rsidRPr="005B57A8">
        <w:rPr>
          <w:rFonts w:ascii="Times New Roman" w:hAnsi="Times New Roman"/>
          <w:color w:val="000000"/>
          <w:sz w:val="24"/>
          <w:szCs w:val="24"/>
        </w:rPr>
        <w:t>BPS, BKKBN, Kemenkes RI &amp; ICF International (2018) Survey Demografi Kesehatan Indonesia 2012, Maryland, USA:ICF International.</w:t>
      </w:r>
      <w:bookmarkEnd w:id="0"/>
    </w:p>
    <w:p w:rsidR="007563D6" w:rsidRPr="005B57A8" w:rsidRDefault="007563D6" w:rsidP="005B57A8">
      <w:pPr>
        <w:spacing w:line="240" w:lineRule="auto"/>
        <w:ind w:left="426" w:hanging="720"/>
        <w:jc w:val="both"/>
        <w:rPr>
          <w:rFonts w:ascii="Times New Roman" w:hAnsi="Times New Roman"/>
          <w:color w:val="000000"/>
          <w:sz w:val="24"/>
          <w:szCs w:val="24"/>
        </w:rPr>
      </w:pPr>
      <w:r w:rsidRPr="007563D6">
        <w:rPr>
          <w:rFonts w:ascii="Times New Roman" w:hAnsi="Times New Roman"/>
          <w:color w:val="000000"/>
          <w:sz w:val="24"/>
          <w:szCs w:val="24"/>
        </w:rPr>
        <w:t>Bankole, A., &amp; Malarcher, S. (2010). Removing barriers to adolescents' access to contraceptive information and services. </w:t>
      </w:r>
      <w:r w:rsidRPr="007563D6">
        <w:rPr>
          <w:rFonts w:ascii="Times New Roman" w:hAnsi="Times New Roman"/>
          <w:i/>
          <w:iCs/>
          <w:color w:val="000000"/>
          <w:sz w:val="24"/>
          <w:szCs w:val="24"/>
        </w:rPr>
        <w:t>Studies in family planning</w:t>
      </w:r>
      <w:r w:rsidRPr="007563D6">
        <w:rPr>
          <w:rFonts w:ascii="Times New Roman" w:hAnsi="Times New Roman"/>
          <w:color w:val="000000"/>
          <w:sz w:val="24"/>
          <w:szCs w:val="24"/>
        </w:rPr>
        <w:t>, </w:t>
      </w:r>
      <w:r w:rsidRPr="007563D6">
        <w:rPr>
          <w:rFonts w:ascii="Times New Roman" w:hAnsi="Times New Roman"/>
          <w:i/>
          <w:iCs/>
          <w:color w:val="000000"/>
          <w:sz w:val="24"/>
          <w:szCs w:val="24"/>
        </w:rPr>
        <w:t>41</w:t>
      </w:r>
      <w:r w:rsidRPr="007563D6">
        <w:rPr>
          <w:rFonts w:ascii="Times New Roman" w:hAnsi="Times New Roman"/>
          <w:color w:val="000000"/>
          <w:sz w:val="24"/>
          <w:szCs w:val="24"/>
        </w:rPr>
        <w:t>(2), 117-124.</w:t>
      </w:r>
    </w:p>
    <w:p w:rsidR="00612655" w:rsidRPr="005B57A8" w:rsidRDefault="00612655" w:rsidP="005B57A8">
      <w:pPr>
        <w:spacing w:line="240" w:lineRule="auto"/>
        <w:ind w:left="426" w:hanging="720"/>
        <w:jc w:val="both"/>
        <w:rPr>
          <w:rFonts w:ascii="Times New Roman" w:hAnsi="Times New Roman"/>
          <w:color w:val="000000"/>
          <w:sz w:val="24"/>
          <w:szCs w:val="24"/>
        </w:rPr>
      </w:pPr>
      <w:r w:rsidRPr="005B57A8">
        <w:rPr>
          <w:rFonts w:ascii="Times New Roman" w:hAnsi="Times New Roman"/>
          <w:color w:val="000000"/>
          <w:sz w:val="24"/>
          <w:szCs w:val="24"/>
        </w:rPr>
        <w:t>Chandra-Mouli, V., Svanemyr, J., Amin, A., Fogstad, H., Say, L., Girard, F., &amp; Temmerman, M. (2015). Twenty years after International Conference on Population and Development: where are we with adolescent sexual and reproductive health and rights?. Journal of Adolescent Health, 56(1), S1-S6.</w:t>
      </w:r>
    </w:p>
    <w:p w:rsidR="00612655" w:rsidRDefault="00612655" w:rsidP="005B57A8">
      <w:pPr>
        <w:spacing w:line="240" w:lineRule="auto"/>
        <w:ind w:left="426" w:hanging="720"/>
        <w:jc w:val="both"/>
        <w:rPr>
          <w:rFonts w:ascii="Times New Roman" w:hAnsi="Times New Roman"/>
          <w:color w:val="000000"/>
          <w:sz w:val="24"/>
          <w:szCs w:val="24"/>
        </w:rPr>
      </w:pPr>
      <w:r w:rsidRPr="005B57A8">
        <w:rPr>
          <w:rFonts w:ascii="Times New Roman" w:hAnsi="Times New Roman"/>
          <w:color w:val="000000"/>
          <w:sz w:val="24"/>
          <w:szCs w:val="24"/>
        </w:rPr>
        <w:t>Chandra-Mouli, V., Lane, C., &amp; Wong, S. (2015). What does not work in adolescent sexual and reproductive health: a review of evidence on interventions commonly accepted as best practices. Global Health: Science and Practice, 3(3), 333-340.</w:t>
      </w:r>
    </w:p>
    <w:p w:rsidR="007563D6" w:rsidRDefault="007563D6" w:rsidP="005B57A8">
      <w:pPr>
        <w:spacing w:line="240" w:lineRule="auto"/>
        <w:ind w:left="426" w:hanging="720"/>
        <w:jc w:val="both"/>
        <w:rPr>
          <w:rFonts w:ascii="Times New Roman" w:hAnsi="Times New Roman"/>
          <w:color w:val="000000"/>
          <w:sz w:val="24"/>
          <w:szCs w:val="24"/>
        </w:rPr>
      </w:pPr>
      <w:r w:rsidRPr="007563D6">
        <w:rPr>
          <w:rFonts w:ascii="Times New Roman" w:hAnsi="Times New Roman"/>
          <w:color w:val="000000"/>
          <w:sz w:val="24"/>
          <w:szCs w:val="24"/>
        </w:rPr>
        <w:t>Coker, T. R., Sareen, H. G., Chung, P. J., Kennedy, D. P., Weidmer, B. A., &amp; Schuster, M. A. (2010). Improving access to and utilization of adolescent preventive health care: the perspectives of adolescents and parents. </w:t>
      </w:r>
      <w:r w:rsidRPr="007563D6">
        <w:rPr>
          <w:rFonts w:ascii="Times New Roman" w:hAnsi="Times New Roman"/>
          <w:i/>
          <w:iCs/>
          <w:color w:val="000000"/>
          <w:sz w:val="24"/>
          <w:szCs w:val="24"/>
        </w:rPr>
        <w:t>Journal of Adolescent Health</w:t>
      </w:r>
      <w:r w:rsidRPr="007563D6">
        <w:rPr>
          <w:rFonts w:ascii="Times New Roman" w:hAnsi="Times New Roman"/>
          <w:color w:val="000000"/>
          <w:sz w:val="24"/>
          <w:szCs w:val="24"/>
        </w:rPr>
        <w:t>, </w:t>
      </w:r>
      <w:r w:rsidRPr="007563D6">
        <w:rPr>
          <w:rFonts w:ascii="Times New Roman" w:hAnsi="Times New Roman"/>
          <w:i/>
          <w:iCs/>
          <w:color w:val="000000"/>
          <w:sz w:val="24"/>
          <w:szCs w:val="24"/>
        </w:rPr>
        <w:t>47</w:t>
      </w:r>
      <w:r w:rsidRPr="007563D6">
        <w:rPr>
          <w:rFonts w:ascii="Times New Roman" w:hAnsi="Times New Roman"/>
          <w:color w:val="000000"/>
          <w:sz w:val="24"/>
          <w:szCs w:val="24"/>
        </w:rPr>
        <w:t>(2), 133-142.</w:t>
      </w:r>
    </w:p>
    <w:p w:rsidR="005B57A8" w:rsidRPr="005B57A8" w:rsidRDefault="005B57A8" w:rsidP="005B57A8">
      <w:pPr>
        <w:spacing w:line="240" w:lineRule="auto"/>
        <w:ind w:left="426" w:hanging="720"/>
        <w:jc w:val="both"/>
        <w:rPr>
          <w:rFonts w:ascii="Times New Roman" w:hAnsi="Times New Roman"/>
          <w:color w:val="000000"/>
          <w:sz w:val="24"/>
          <w:szCs w:val="24"/>
        </w:rPr>
      </w:pPr>
      <w:r w:rsidRPr="005B57A8">
        <w:rPr>
          <w:rFonts w:ascii="Times New Roman" w:hAnsi="Times New Roman"/>
          <w:color w:val="000000"/>
          <w:sz w:val="24"/>
          <w:szCs w:val="24"/>
        </w:rPr>
        <w:t>Kementerian Kesehatan RI. (2015). Infodatin Pusat Data Informasi Kementerian Kesehatan RI Indonesia Situasi Kesehatan Reproduksi Remaja.</w:t>
      </w:r>
    </w:p>
    <w:p w:rsidR="005B57A8" w:rsidRDefault="005B57A8" w:rsidP="005B57A8">
      <w:pPr>
        <w:spacing w:line="240" w:lineRule="auto"/>
        <w:ind w:left="426" w:hanging="720"/>
        <w:jc w:val="both"/>
        <w:rPr>
          <w:rFonts w:ascii="Times New Roman" w:hAnsi="Times New Roman"/>
          <w:color w:val="000000"/>
          <w:sz w:val="24"/>
          <w:szCs w:val="24"/>
        </w:rPr>
      </w:pPr>
      <w:r w:rsidRPr="005B57A8">
        <w:rPr>
          <w:rFonts w:ascii="Times New Roman" w:hAnsi="Times New Roman"/>
          <w:color w:val="000000"/>
          <w:sz w:val="24"/>
          <w:szCs w:val="24"/>
        </w:rPr>
        <w:t>Kesterton, A. J., &amp; de Mello, M. C. (2010). Generating demand and community support for sexual and reproductive health services for young people: A review of the Literature and Programs. </w:t>
      </w:r>
      <w:r w:rsidRPr="005B57A8">
        <w:rPr>
          <w:rFonts w:ascii="Times New Roman" w:hAnsi="Times New Roman"/>
          <w:i/>
          <w:iCs/>
          <w:color w:val="000000"/>
          <w:sz w:val="24"/>
          <w:szCs w:val="24"/>
        </w:rPr>
        <w:t>Reproductive health</w:t>
      </w:r>
      <w:r w:rsidRPr="005B57A8">
        <w:rPr>
          <w:rFonts w:ascii="Times New Roman" w:hAnsi="Times New Roman"/>
          <w:color w:val="000000"/>
          <w:sz w:val="24"/>
          <w:szCs w:val="24"/>
        </w:rPr>
        <w:t>, </w:t>
      </w:r>
      <w:r w:rsidRPr="005B57A8">
        <w:rPr>
          <w:rFonts w:ascii="Times New Roman" w:hAnsi="Times New Roman"/>
          <w:i/>
          <w:iCs/>
          <w:color w:val="000000"/>
          <w:sz w:val="24"/>
          <w:szCs w:val="24"/>
        </w:rPr>
        <w:t>7</w:t>
      </w:r>
      <w:r w:rsidRPr="005B57A8">
        <w:rPr>
          <w:rFonts w:ascii="Times New Roman" w:hAnsi="Times New Roman"/>
          <w:color w:val="000000"/>
          <w:sz w:val="24"/>
          <w:szCs w:val="24"/>
        </w:rPr>
        <w:t>(1), 25.</w:t>
      </w:r>
    </w:p>
    <w:p w:rsidR="00612655" w:rsidRPr="005B57A8" w:rsidRDefault="00612655" w:rsidP="005B57A8">
      <w:pPr>
        <w:spacing w:line="240" w:lineRule="auto"/>
        <w:ind w:left="426" w:hanging="720"/>
        <w:jc w:val="both"/>
        <w:rPr>
          <w:rFonts w:ascii="Times New Roman" w:hAnsi="Times New Roman"/>
          <w:color w:val="000000"/>
          <w:sz w:val="24"/>
          <w:szCs w:val="24"/>
        </w:rPr>
      </w:pPr>
      <w:r w:rsidRPr="005B57A8">
        <w:rPr>
          <w:rFonts w:ascii="Times New Roman" w:hAnsi="Times New Roman"/>
          <w:color w:val="000000"/>
          <w:sz w:val="24"/>
          <w:szCs w:val="24"/>
        </w:rPr>
        <w:t>Kurniasih, N., &amp; Komariah, N. (2017). Peta Pencarian Informasi Kesehatan Reproduksi Remaja Kota Bandung Berdasarkan Jenis Kelamin, Latar Belakang Pendidikan, Status Sosial dan Ekonomi.</w:t>
      </w:r>
    </w:p>
    <w:p w:rsidR="00B4763D" w:rsidRPr="005B57A8" w:rsidRDefault="00612655" w:rsidP="005B57A8">
      <w:pPr>
        <w:spacing w:line="240" w:lineRule="auto"/>
        <w:ind w:left="426" w:hanging="720"/>
        <w:jc w:val="both"/>
        <w:rPr>
          <w:rFonts w:ascii="Times New Roman" w:hAnsi="Times New Roman"/>
          <w:color w:val="000000"/>
          <w:sz w:val="24"/>
          <w:szCs w:val="24"/>
        </w:rPr>
      </w:pPr>
      <w:r w:rsidRPr="005B57A8">
        <w:rPr>
          <w:rFonts w:ascii="Times New Roman" w:hAnsi="Times New Roman"/>
          <w:color w:val="000000"/>
          <w:sz w:val="24"/>
          <w:szCs w:val="24"/>
        </w:rPr>
        <w:t>Nurmansyah, M. I., Al-Aufa, B., &amp; Amran, Y. (2012). Peran Keluarga, Masyarakat dan Media Sebagai Sumber Informasi Kesehatan Reproduksi pada Mahasiswa. Jurnal Kesehatan Reproduksi, 3(1 Apr), 16-23.</w:t>
      </w:r>
    </w:p>
    <w:p w:rsidR="00B4763D" w:rsidRDefault="00612655" w:rsidP="005B57A8">
      <w:pPr>
        <w:spacing w:line="240" w:lineRule="auto"/>
        <w:ind w:left="426" w:hanging="720"/>
        <w:jc w:val="both"/>
        <w:rPr>
          <w:rFonts w:ascii="Times New Roman" w:hAnsi="Times New Roman"/>
          <w:color w:val="000000"/>
          <w:sz w:val="24"/>
          <w:szCs w:val="24"/>
        </w:rPr>
      </w:pPr>
      <w:r w:rsidRPr="005B57A8">
        <w:rPr>
          <w:rFonts w:ascii="Times New Roman" w:hAnsi="Times New Roman"/>
          <w:color w:val="000000"/>
          <w:sz w:val="24"/>
          <w:szCs w:val="24"/>
        </w:rPr>
        <w:t>Price, N. L., &amp; Hawkins, K. (2007). A conceptual framework for the social analysis of reproductive health. Journal of health, population, and nutrition, 25(1), 24.</w:t>
      </w:r>
    </w:p>
    <w:p w:rsidR="00E81880" w:rsidRPr="005B57A8" w:rsidRDefault="00E81880" w:rsidP="005B57A8">
      <w:pPr>
        <w:spacing w:line="240" w:lineRule="auto"/>
        <w:ind w:left="426" w:hanging="720"/>
        <w:jc w:val="both"/>
        <w:rPr>
          <w:rFonts w:ascii="Times New Roman" w:hAnsi="Times New Roman"/>
          <w:color w:val="000000"/>
          <w:sz w:val="24"/>
          <w:szCs w:val="24"/>
        </w:rPr>
      </w:pPr>
      <w:r w:rsidRPr="00E81880">
        <w:rPr>
          <w:rFonts w:ascii="Times New Roman" w:hAnsi="Times New Roman"/>
          <w:color w:val="000000"/>
          <w:sz w:val="24"/>
          <w:szCs w:val="24"/>
        </w:rPr>
        <w:t>Perry, R. C., Kayekjian, K. C., Braun, R. A., Cantu, M., Sheoran, B., &amp; Chung, P. J. (2012). Adolescents' perspectives on the use of a text messaging service for preventive sexual health promotion. </w:t>
      </w:r>
      <w:r w:rsidRPr="00E81880">
        <w:rPr>
          <w:rFonts w:ascii="Times New Roman" w:hAnsi="Times New Roman"/>
          <w:i/>
          <w:iCs/>
          <w:color w:val="000000"/>
          <w:sz w:val="24"/>
          <w:szCs w:val="24"/>
        </w:rPr>
        <w:t>Journal of Adolescent Health</w:t>
      </w:r>
      <w:r w:rsidRPr="00E81880">
        <w:rPr>
          <w:rFonts w:ascii="Times New Roman" w:hAnsi="Times New Roman"/>
          <w:color w:val="000000"/>
          <w:sz w:val="24"/>
          <w:szCs w:val="24"/>
        </w:rPr>
        <w:t>, </w:t>
      </w:r>
      <w:r w:rsidRPr="00E81880">
        <w:rPr>
          <w:rFonts w:ascii="Times New Roman" w:hAnsi="Times New Roman"/>
          <w:i/>
          <w:iCs/>
          <w:color w:val="000000"/>
          <w:sz w:val="24"/>
          <w:szCs w:val="24"/>
        </w:rPr>
        <w:t>51</w:t>
      </w:r>
      <w:r w:rsidRPr="00E81880">
        <w:rPr>
          <w:rFonts w:ascii="Times New Roman" w:hAnsi="Times New Roman"/>
          <w:color w:val="000000"/>
          <w:sz w:val="24"/>
          <w:szCs w:val="24"/>
        </w:rPr>
        <w:t>(3), 220-225.</w:t>
      </w:r>
    </w:p>
    <w:p w:rsidR="00D11A8A" w:rsidRPr="005B57A8" w:rsidRDefault="00D11A8A" w:rsidP="005B57A8">
      <w:pPr>
        <w:spacing w:after="0" w:line="240" w:lineRule="auto"/>
        <w:ind w:left="426" w:hanging="720"/>
        <w:jc w:val="both"/>
        <w:rPr>
          <w:rFonts w:ascii="Times New Roman" w:hAnsi="Times New Roman"/>
          <w:color w:val="000000"/>
          <w:sz w:val="24"/>
          <w:szCs w:val="24"/>
        </w:rPr>
      </w:pPr>
    </w:p>
    <w:p w:rsidR="00DD4FF6" w:rsidRPr="005B57A8" w:rsidRDefault="00D02C29" w:rsidP="005B57A8">
      <w:pPr>
        <w:spacing w:after="0" w:line="240" w:lineRule="auto"/>
        <w:ind w:left="426" w:hanging="720"/>
        <w:jc w:val="both"/>
        <w:rPr>
          <w:rFonts w:ascii="Times New Roman" w:hAnsi="Times New Roman"/>
          <w:color w:val="000000"/>
          <w:sz w:val="24"/>
          <w:szCs w:val="24"/>
        </w:rPr>
      </w:pPr>
      <w:r w:rsidRPr="00D02C29">
        <w:rPr>
          <w:rFonts w:ascii="Times New Roman" w:hAnsi="Times New Roman"/>
          <w:color w:val="000000"/>
          <w:sz w:val="24"/>
          <w:szCs w:val="24"/>
        </w:rPr>
        <w:lastRenderedPageBreak/>
        <w:t xml:space="preserve">Zainafree, I. (2015). Perilaku Seksual dan Implikasinya Terhadap Kebutuhan Layanan Kesehatan Reproduksi Remaja di Lingkungan Kampus (Studi Kasus Pada </w:t>
      </w:r>
      <w:bookmarkStart w:id="1" w:name="_GoBack"/>
      <w:bookmarkEnd w:id="1"/>
      <w:r w:rsidRPr="00D02C29">
        <w:rPr>
          <w:rFonts w:ascii="Times New Roman" w:hAnsi="Times New Roman"/>
          <w:color w:val="000000"/>
          <w:sz w:val="24"/>
          <w:szCs w:val="24"/>
        </w:rPr>
        <w:t>Mahasiswa Universitas Negeri Semarang). </w:t>
      </w:r>
      <w:r w:rsidRPr="00D02C29">
        <w:rPr>
          <w:rFonts w:ascii="Times New Roman" w:hAnsi="Times New Roman"/>
          <w:i/>
          <w:iCs/>
          <w:color w:val="000000"/>
          <w:sz w:val="24"/>
          <w:szCs w:val="24"/>
        </w:rPr>
        <w:t>Unnes Journal of Public Health</w:t>
      </w:r>
      <w:r w:rsidRPr="00D02C29">
        <w:rPr>
          <w:rFonts w:ascii="Times New Roman" w:hAnsi="Times New Roman"/>
          <w:color w:val="000000"/>
          <w:sz w:val="24"/>
          <w:szCs w:val="24"/>
        </w:rPr>
        <w:t>, </w:t>
      </w:r>
      <w:r w:rsidRPr="00D02C29">
        <w:rPr>
          <w:rFonts w:ascii="Times New Roman" w:hAnsi="Times New Roman"/>
          <w:i/>
          <w:iCs/>
          <w:color w:val="000000"/>
          <w:sz w:val="24"/>
          <w:szCs w:val="24"/>
        </w:rPr>
        <w:t>4</w:t>
      </w:r>
      <w:r w:rsidRPr="00D02C29">
        <w:rPr>
          <w:rFonts w:ascii="Times New Roman" w:hAnsi="Times New Roman"/>
          <w:color w:val="000000"/>
          <w:sz w:val="24"/>
          <w:szCs w:val="24"/>
        </w:rPr>
        <w:t>(3).</w:t>
      </w:r>
    </w:p>
    <w:p w:rsidR="00DD4FF6" w:rsidRPr="005B57A8" w:rsidRDefault="00DD4FF6" w:rsidP="005B57A8">
      <w:pPr>
        <w:spacing w:after="0" w:line="240" w:lineRule="auto"/>
        <w:ind w:left="426" w:hanging="720"/>
        <w:jc w:val="both"/>
        <w:rPr>
          <w:rFonts w:ascii="Times New Roman" w:hAnsi="Times New Roman"/>
          <w:color w:val="000000"/>
          <w:sz w:val="24"/>
          <w:szCs w:val="24"/>
        </w:rPr>
      </w:pPr>
    </w:p>
    <w:sectPr w:rsidR="00DD4FF6" w:rsidRPr="005B57A8" w:rsidSect="00F10488">
      <w:type w:val="continuous"/>
      <w:pgSz w:w="11906" w:h="16838" w:code="9"/>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D79" w:rsidRDefault="00B95D79" w:rsidP="00A0006A">
      <w:pPr>
        <w:spacing w:after="0" w:line="240" w:lineRule="auto"/>
      </w:pPr>
      <w:r>
        <w:separator/>
      </w:r>
    </w:p>
  </w:endnote>
  <w:endnote w:type="continuationSeparator" w:id="1">
    <w:p w:rsidR="00B95D79" w:rsidRDefault="00B95D79" w:rsidP="00A00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D79" w:rsidRDefault="00B95D79" w:rsidP="00A0006A">
      <w:pPr>
        <w:spacing w:after="0" w:line="240" w:lineRule="auto"/>
      </w:pPr>
      <w:r>
        <w:separator/>
      </w:r>
    </w:p>
  </w:footnote>
  <w:footnote w:type="continuationSeparator" w:id="1">
    <w:p w:rsidR="00B95D79" w:rsidRDefault="00B95D79" w:rsidP="00A000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15pt;height:10.15pt;visibility:visible" o:bullet="t">
        <v:imagedata r:id="rId1" o:title=""/>
      </v:shape>
    </w:pict>
  </w:numPicBullet>
  <w:numPicBullet w:numPicBulletId="1">
    <w:pict>
      <v:shape id="_x0000_i1029" type="#_x0000_t75" style="width:10.15pt;height:10.15pt;visibility:visible" o:bullet="t">
        <v:imagedata r:id="rId2" o:title=""/>
      </v:shape>
    </w:pict>
  </w:numPicBullet>
  <w:abstractNum w:abstractNumId="0">
    <w:nsid w:val="06D550EF"/>
    <w:multiLevelType w:val="hybridMultilevel"/>
    <w:tmpl w:val="ED602AA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nsid w:val="089F7427"/>
    <w:multiLevelType w:val="hybridMultilevel"/>
    <w:tmpl w:val="8110A35C"/>
    <w:lvl w:ilvl="0" w:tplc="7C100532">
      <w:start w:val="1"/>
      <w:numFmt w:val="bullet"/>
      <w:lvlText w:val=""/>
      <w:lvlPicBulletId w:val="1"/>
      <w:lvlJc w:val="left"/>
      <w:pPr>
        <w:tabs>
          <w:tab w:val="num" w:pos="720"/>
        </w:tabs>
        <w:ind w:left="720" w:hanging="360"/>
      </w:pPr>
      <w:rPr>
        <w:rFonts w:ascii="Symbol" w:hAnsi="Symbol" w:hint="default"/>
      </w:rPr>
    </w:lvl>
    <w:lvl w:ilvl="1" w:tplc="AFD89C3E" w:tentative="1">
      <w:start w:val="1"/>
      <w:numFmt w:val="bullet"/>
      <w:lvlText w:val=""/>
      <w:lvlJc w:val="left"/>
      <w:pPr>
        <w:tabs>
          <w:tab w:val="num" w:pos="1440"/>
        </w:tabs>
        <w:ind w:left="1440" w:hanging="360"/>
      </w:pPr>
      <w:rPr>
        <w:rFonts w:ascii="Symbol" w:hAnsi="Symbol" w:hint="default"/>
      </w:rPr>
    </w:lvl>
    <w:lvl w:ilvl="2" w:tplc="87D2EA44" w:tentative="1">
      <w:start w:val="1"/>
      <w:numFmt w:val="bullet"/>
      <w:lvlText w:val=""/>
      <w:lvlJc w:val="left"/>
      <w:pPr>
        <w:tabs>
          <w:tab w:val="num" w:pos="2160"/>
        </w:tabs>
        <w:ind w:left="2160" w:hanging="360"/>
      </w:pPr>
      <w:rPr>
        <w:rFonts w:ascii="Symbol" w:hAnsi="Symbol" w:hint="default"/>
      </w:rPr>
    </w:lvl>
    <w:lvl w:ilvl="3" w:tplc="C66497C8" w:tentative="1">
      <w:start w:val="1"/>
      <w:numFmt w:val="bullet"/>
      <w:lvlText w:val=""/>
      <w:lvlJc w:val="left"/>
      <w:pPr>
        <w:tabs>
          <w:tab w:val="num" w:pos="2880"/>
        </w:tabs>
        <w:ind w:left="2880" w:hanging="360"/>
      </w:pPr>
      <w:rPr>
        <w:rFonts w:ascii="Symbol" w:hAnsi="Symbol" w:hint="default"/>
      </w:rPr>
    </w:lvl>
    <w:lvl w:ilvl="4" w:tplc="6824ACC2" w:tentative="1">
      <w:start w:val="1"/>
      <w:numFmt w:val="bullet"/>
      <w:lvlText w:val=""/>
      <w:lvlJc w:val="left"/>
      <w:pPr>
        <w:tabs>
          <w:tab w:val="num" w:pos="3600"/>
        </w:tabs>
        <w:ind w:left="3600" w:hanging="360"/>
      </w:pPr>
      <w:rPr>
        <w:rFonts w:ascii="Symbol" w:hAnsi="Symbol" w:hint="default"/>
      </w:rPr>
    </w:lvl>
    <w:lvl w:ilvl="5" w:tplc="2ADA7A9E" w:tentative="1">
      <w:start w:val="1"/>
      <w:numFmt w:val="bullet"/>
      <w:lvlText w:val=""/>
      <w:lvlJc w:val="left"/>
      <w:pPr>
        <w:tabs>
          <w:tab w:val="num" w:pos="4320"/>
        </w:tabs>
        <w:ind w:left="4320" w:hanging="360"/>
      </w:pPr>
      <w:rPr>
        <w:rFonts w:ascii="Symbol" w:hAnsi="Symbol" w:hint="default"/>
      </w:rPr>
    </w:lvl>
    <w:lvl w:ilvl="6" w:tplc="5D4CC3FA" w:tentative="1">
      <w:start w:val="1"/>
      <w:numFmt w:val="bullet"/>
      <w:lvlText w:val=""/>
      <w:lvlJc w:val="left"/>
      <w:pPr>
        <w:tabs>
          <w:tab w:val="num" w:pos="5040"/>
        </w:tabs>
        <w:ind w:left="5040" w:hanging="360"/>
      </w:pPr>
      <w:rPr>
        <w:rFonts w:ascii="Symbol" w:hAnsi="Symbol" w:hint="default"/>
      </w:rPr>
    </w:lvl>
    <w:lvl w:ilvl="7" w:tplc="C3900456" w:tentative="1">
      <w:start w:val="1"/>
      <w:numFmt w:val="bullet"/>
      <w:lvlText w:val=""/>
      <w:lvlJc w:val="left"/>
      <w:pPr>
        <w:tabs>
          <w:tab w:val="num" w:pos="5760"/>
        </w:tabs>
        <w:ind w:left="5760" w:hanging="360"/>
      </w:pPr>
      <w:rPr>
        <w:rFonts w:ascii="Symbol" w:hAnsi="Symbol" w:hint="default"/>
      </w:rPr>
    </w:lvl>
    <w:lvl w:ilvl="8" w:tplc="CB120184" w:tentative="1">
      <w:start w:val="1"/>
      <w:numFmt w:val="bullet"/>
      <w:lvlText w:val=""/>
      <w:lvlJc w:val="left"/>
      <w:pPr>
        <w:tabs>
          <w:tab w:val="num" w:pos="6480"/>
        </w:tabs>
        <w:ind w:left="6480" w:hanging="360"/>
      </w:pPr>
      <w:rPr>
        <w:rFonts w:ascii="Symbol" w:hAnsi="Symbol" w:hint="default"/>
      </w:rPr>
    </w:lvl>
  </w:abstractNum>
  <w:abstractNum w:abstractNumId="2">
    <w:nsid w:val="152E2E12"/>
    <w:multiLevelType w:val="hybridMultilevel"/>
    <w:tmpl w:val="9F2013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915293"/>
    <w:multiLevelType w:val="hybridMultilevel"/>
    <w:tmpl w:val="90C45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D50385"/>
    <w:multiLevelType w:val="hybridMultilevel"/>
    <w:tmpl w:val="5602FE7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nsid w:val="2CB306B2"/>
    <w:multiLevelType w:val="hybridMultilevel"/>
    <w:tmpl w:val="FA3EE1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D1F2EAB"/>
    <w:multiLevelType w:val="hybridMultilevel"/>
    <w:tmpl w:val="D794F0DA"/>
    <w:lvl w:ilvl="0" w:tplc="4CD8555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37C66837"/>
    <w:multiLevelType w:val="hybridMultilevel"/>
    <w:tmpl w:val="FBCEC028"/>
    <w:lvl w:ilvl="0" w:tplc="A98CD2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F67173D"/>
    <w:multiLevelType w:val="hybridMultilevel"/>
    <w:tmpl w:val="2FB8FF74"/>
    <w:lvl w:ilvl="0" w:tplc="3FA86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42A47C0"/>
    <w:multiLevelType w:val="hybridMultilevel"/>
    <w:tmpl w:val="DE9EF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FE42C9D"/>
    <w:multiLevelType w:val="hybridMultilevel"/>
    <w:tmpl w:val="AACCCF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12C18A">
      <w:start w:val="1"/>
      <w:numFmt w:val="decimal"/>
      <w:lvlText w:val="%3)"/>
      <w:lvlJc w:val="left"/>
      <w:pPr>
        <w:ind w:left="1890" w:hanging="360"/>
      </w:pPr>
      <w:rPr>
        <w:rFonts w:hint="default"/>
        <w:b w:val="0"/>
      </w:rPr>
    </w:lvl>
    <w:lvl w:ilvl="3" w:tplc="4F7829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6930D8"/>
    <w:multiLevelType w:val="hybridMultilevel"/>
    <w:tmpl w:val="AD180BF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3336BB5"/>
    <w:multiLevelType w:val="hybridMultilevel"/>
    <w:tmpl w:val="6F322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3B4464D"/>
    <w:multiLevelType w:val="hybridMultilevel"/>
    <w:tmpl w:val="B8D2F2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4776EEE"/>
    <w:multiLevelType w:val="hybridMultilevel"/>
    <w:tmpl w:val="2B4C71A0"/>
    <w:lvl w:ilvl="0" w:tplc="66DEED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F96129B"/>
    <w:multiLevelType w:val="hybridMultilevel"/>
    <w:tmpl w:val="9E8CE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5E348D1"/>
    <w:multiLevelType w:val="hybridMultilevel"/>
    <w:tmpl w:val="28BE5D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5EA511E"/>
    <w:multiLevelType w:val="hybridMultilevel"/>
    <w:tmpl w:val="3EF0DD28"/>
    <w:lvl w:ilvl="0" w:tplc="3ACE46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7A0E2CAD"/>
    <w:multiLevelType w:val="hybridMultilevel"/>
    <w:tmpl w:val="5A0E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4"/>
  </w:num>
  <w:num w:numId="5">
    <w:abstractNumId w:val="18"/>
  </w:num>
  <w:num w:numId="6">
    <w:abstractNumId w:val="16"/>
  </w:num>
  <w:num w:numId="7">
    <w:abstractNumId w:val="5"/>
  </w:num>
  <w:num w:numId="8">
    <w:abstractNumId w:val="0"/>
  </w:num>
  <w:num w:numId="9">
    <w:abstractNumId w:val="13"/>
  </w:num>
  <w:num w:numId="10">
    <w:abstractNumId w:val="6"/>
  </w:num>
  <w:num w:numId="11">
    <w:abstractNumId w:val="11"/>
  </w:num>
  <w:num w:numId="12">
    <w:abstractNumId w:val="2"/>
  </w:num>
  <w:num w:numId="13">
    <w:abstractNumId w:val="7"/>
  </w:num>
  <w:num w:numId="14">
    <w:abstractNumId w:val="3"/>
  </w:num>
  <w:num w:numId="15">
    <w:abstractNumId w:val="8"/>
  </w:num>
  <w:num w:numId="16">
    <w:abstractNumId w:val="15"/>
  </w:num>
  <w:num w:numId="17">
    <w:abstractNumId w:val="14"/>
  </w:num>
  <w:num w:numId="18">
    <w:abstractNumId w:val="1"/>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34C81"/>
    <w:rsid w:val="000038F6"/>
    <w:rsid w:val="000068E4"/>
    <w:rsid w:val="00010424"/>
    <w:rsid w:val="000165C9"/>
    <w:rsid w:val="00023777"/>
    <w:rsid w:val="000300D3"/>
    <w:rsid w:val="0003294C"/>
    <w:rsid w:val="00041744"/>
    <w:rsid w:val="00064A1E"/>
    <w:rsid w:val="000716E5"/>
    <w:rsid w:val="00071ED6"/>
    <w:rsid w:val="00081505"/>
    <w:rsid w:val="00083002"/>
    <w:rsid w:val="00085447"/>
    <w:rsid w:val="0009611B"/>
    <w:rsid w:val="000A5BF5"/>
    <w:rsid w:val="000D7B13"/>
    <w:rsid w:val="000E0336"/>
    <w:rsid w:val="000E2240"/>
    <w:rsid w:val="000E4D23"/>
    <w:rsid w:val="000F5093"/>
    <w:rsid w:val="00143475"/>
    <w:rsid w:val="00143FBB"/>
    <w:rsid w:val="001543C9"/>
    <w:rsid w:val="00193FA6"/>
    <w:rsid w:val="001D2151"/>
    <w:rsid w:val="001D5502"/>
    <w:rsid w:val="001E366B"/>
    <w:rsid w:val="00201320"/>
    <w:rsid w:val="00205529"/>
    <w:rsid w:val="00213004"/>
    <w:rsid w:val="00217DD7"/>
    <w:rsid w:val="00227123"/>
    <w:rsid w:val="002333D6"/>
    <w:rsid w:val="00233E1D"/>
    <w:rsid w:val="0025261A"/>
    <w:rsid w:val="002624A4"/>
    <w:rsid w:val="00263649"/>
    <w:rsid w:val="0026370B"/>
    <w:rsid w:val="00266371"/>
    <w:rsid w:val="00266ABF"/>
    <w:rsid w:val="002703BB"/>
    <w:rsid w:val="00287802"/>
    <w:rsid w:val="00287FA6"/>
    <w:rsid w:val="002A00A1"/>
    <w:rsid w:val="002A4DC0"/>
    <w:rsid w:val="002B5F8C"/>
    <w:rsid w:val="002C4587"/>
    <w:rsid w:val="002D07C9"/>
    <w:rsid w:val="002D47F4"/>
    <w:rsid w:val="002E27CF"/>
    <w:rsid w:val="002E4DFF"/>
    <w:rsid w:val="002F1AC1"/>
    <w:rsid w:val="002F296E"/>
    <w:rsid w:val="00302D15"/>
    <w:rsid w:val="00310D98"/>
    <w:rsid w:val="0032548A"/>
    <w:rsid w:val="00333E93"/>
    <w:rsid w:val="00334C81"/>
    <w:rsid w:val="00351F3B"/>
    <w:rsid w:val="00352A90"/>
    <w:rsid w:val="00355A3D"/>
    <w:rsid w:val="003660CF"/>
    <w:rsid w:val="0038759F"/>
    <w:rsid w:val="00391C47"/>
    <w:rsid w:val="0039289F"/>
    <w:rsid w:val="003A009B"/>
    <w:rsid w:val="003A1979"/>
    <w:rsid w:val="003A585F"/>
    <w:rsid w:val="003D0ABF"/>
    <w:rsid w:val="003E603A"/>
    <w:rsid w:val="003F1565"/>
    <w:rsid w:val="003F3FF1"/>
    <w:rsid w:val="0040124C"/>
    <w:rsid w:val="004169DB"/>
    <w:rsid w:val="004344F8"/>
    <w:rsid w:val="004427F7"/>
    <w:rsid w:val="00446F6D"/>
    <w:rsid w:val="0045164E"/>
    <w:rsid w:val="00453ADD"/>
    <w:rsid w:val="0045466B"/>
    <w:rsid w:val="004615B6"/>
    <w:rsid w:val="00465E80"/>
    <w:rsid w:val="00467D6F"/>
    <w:rsid w:val="00480021"/>
    <w:rsid w:val="0048712C"/>
    <w:rsid w:val="004A2EA8"/>
    <w:rsid w:val="004A77DE"/>
    <w:rsid w:val="004B32F3"/>
    <w:rsid w:val="004B5864"/>
    <w:rsid w:val="004B65EC"/>
    <w:rsid w:val="004C4A94"/>
    <w:rsid w:val="004E0BDD"/>
    <w:rsid w:val="004E4DBA"/>
    <w:rsid w:val="004F08A9"/>
    <w:rsid w:val="005044FE"/>
    <w:rsid w:val="00505DB2"/>
    <w:rsid w:val="00507424"/>
    <w:rsid w:val="00513640"/>
    <w:rsid w:val="0052176A"/>
    <w:rsid w:val="0052384B"/>
    <w:rsid w:val="00535B45"/>
    <w:rsid w:val="005362B0"/>
    <w:rsid w:val="00542D7C"/>
    <w:rsid w:val="00555DED"/>
    <w:rsid w:val="00564ECD"/>
    <w:rsid w:val="00565448"/>
    <w:rsid w:val="00566DB2"/>
    <w:rsid w:val="0057492D"/>
    <w:rsid w:val="005B004B"/>
    <w:rsid w:val="005B5439"/>
    <w:rsid w:val="005B57A8"/>
    <w:rsid w:val="005C219F"/>
    <w:rsid w:val="005D0A4A"/>
    <w:rsid w:val="005E0CAC"/>
    <w:rsid w:val="005E4BEE"/>
    <w:rsid w:val="005F26C3"/>
    <w:rsid w:val="005F67D5"/>
    <w:rsid w:val="0060119A"/>
    <w:rsid w:val="006029D0"/>
    <w:rsid w:val="00612655"/>
    <w:rsid w:val="00613470"/>
    <w:rsid w:val="006240F6"/>
    <w:rsid w:val="00634214"/>
    <w:rsid w:val="006423AE"/>
    <w:rsid w:val="00651078"/>
    <w:rsid w:val="0067092F"/>
    <w:rsid w:val="00681868"/>
    <w:rsid w:val="00695065"/>
    <w:rsid w:val="006A5B19"/>
    <w:rsid w:val="006C2225"/>
    <w:rsid w:val="006D7A34"/>
    <w:rsid w:val="006D7D11"/>
    <w:rsid w:val="00727420"/>
    <w:rsid w:val="00732D46"/>
    <w:rsid w:val="00745B4F"/>
    <w:rsid w:val="00751933"/>
    <w:rsid w:val="007563D6"/>
    <w:rsid w:val="00770FD7"/>
    <w:rsid w:val="00775451"/>
    <w:rsid w:val="0078618C"/>
    <w:rsid w:val="007A43AE"/>
    <w:rsid w:val="007B179D"/>
    <w:rsid w:val="007B6420"/>
    <w:rsid w:val="007C08EC"/>
    <w:rsid w:val="007D1C58"/>
    <w:rsid w:val="007D2D15"/>
    <w:rsid w:val="007E1D0F"/>
    <w:rsid w:val="007E2423"/>
    <w:rsid w:val="007E2AF3"/>
    <w:rsid w:val="007F241E"/>
    <w:rsid w:val="007F5C30"/>
    <w:rsid w:val="007F7DEE"/>
    <w:rsid w:val="00800DF0"/>
    <w:rsid w:val="00832ECC"/>
    <w:rsid w:val="008358D1"/>
    <w:rsid w:val="008408A9"/>
    <w:rsid w:val="008511EC"/>
    <w:rsid w:val="008528CC"/>
    <w:rsid w:val="00865C3B"/>
    <w:rsid w:val="00872BED"/>
    <w:rsid w:val="00876121"/>
    <w:rsid w:val="00877BE8"/>
    <w:rsid w:val="00893203"/>
    <w:rsid w:val="00893F91"/>
    <w:rsid w:val="008A3BA3"/>
    <w:rsid w:val="008A5984"/>
    <w:rsid w:val="008C1AF1"/>
    <w:rsid w:val="008C1F8C"/>
    <w:rsid w:val="008C4364"/>
    <w:rsid w:val="008C7984"/>
    <w:rsid w:val="008D5D64"/>
    <w:rsid w:val="008D61D9"/>
    <w:rsid w:val="008E0D64"/>
    <w:rsid w:val="008E7048"/>
    <w:rsid w:val="009007B8"/>
    <w:rsid w:val="00903AE5"/>
    <w:rsid w:val="009044AA"/>
    <w:rsid w:val="00905BC8"/>
    <w:rsid w:val="0090679D"/>
    <w:rsid w:val="009100EF"/>
    <w:rsid w:val="00927F1B"/>
    <w:rsid w:val="009426E6"/>
    <w:rsid w:val="00956E88"/>
    <w:rsid w:val="00961933"/>
    <w:rsid w:val="009675C7"/>
    <w:rsid w:val="00972879"/>
    <w:rsid w:val="0097384B"/>
    <w:rsid w:val="009740AF"/>
    <w:rsid w:val="00984886"/>
    <w:rsid w:val="00984BB0"/>
    <w:rsid w:val="00985313"/>
    <w:rsid w:val="00990788"/>
    <w:rsid w:val="009953F6"/>
    <w:rsid w:val="009A07F2"/>
    <w:rsid w:val="009B0DAD"/>
    <w:rsid w:val="009B209C"/>
    <w:rsid w:val="009C33A4"/>
    <w:rsid w:val="009C5644"/>
    <w:rsid w:val="009E2A1A"/>
    <w:rsid w:val="009E6A8F"/>
    <w:rsid w:val="009E758F"/>
    <w:rsid w:val="00A0006A"/>
    <w:rsid w:val="00A065AA"/>
    <w:rsid w:val="00A12B89"/>
    <w:rsid w:val="00A12BF2"/>
    <w:rsid w:val="00A2048F"/>
    <w:rsid w:val="00A23CED"/>
    <w:rsid w:val="00A418EC"/>
    <w:rsid w:val="00A51876"/>
    <w:rsid w:val="00A53CC8"/>
    <w:rsid w:val="00A5536C"/>
    <w:rsid w:val="00A83204"/>
    <w:rsid w:val="00A85D05"/>
    <w:rsid w:val="00A870EA"/>
    <w:rsid w:val="00A87DB2"/>
    <w:rsid w:val="00AA02C1"/>
    <w:rsid w:val="00AC4CE7"/>
    <w:rsid w:val="00AD53A5"/>
    <w:rsid w:val="00AE1CBB"/>
    <w:rsid w:val="00AE1D28"/>
    <w:rsid w:val="00AE769E"/>
    <w:rsid w:val="00AF30B4"/>
    <w:rsid w:val="00B033D4"/>
    <w:rsid w:val="00B11221"/>
    <w:rsid w:val="00B152DD"/>
    <w:rsid w:val="00B41D82"/>
    <w:rsid w:val="00B4763D"/>
    <w:rsid w:val="00B65EA8"/>
    <w:rsid w:val="00B716A4"/>
    <w:rsid w:val="00B7603B"/>
    <w:rsid w:val="00B824E8"/>
    <w:rsid w:val="00B85D5D"/>
    <w:rsid w:val="00B95772"/>
    <w:rsid w:val="00B95D79"/>
    <w:rsid w:val="00BA202A"/>
    <w:rsid w:val="00BC3C67"/>
    <w:rsid w:val="00BC3DF1"/>
    <w:rsid w:val="00BC54B8"/>
    <w:rsid w:val="00BD3C46"/>
    <w:rsid w:val="00BD4141"/>
    <w:rsid w:val="00BD473E"/>
    <w:rsid w:val="00BF4A2B"/>
    <w:rsid w:val="00C0197A"/>
    <w:rsid w:val="00C05006"/>
    <w:rsid w:val="00C05F7D"/>
    <w:rsid w:val="00C25BD5"/>
    <w:rsid w:val="00C3245E"/>
    <w:rsid w:val="00C64953"/>
    <w:rsid w:val="00C70C35"/>
    <w:rsid w:val="00C72F34"/>
    <w:rsid w:val="00C763EF"/>
    <w:rsid w:val="00C85072"/>
    <w:rsid w:val="00C942C2"/>
    <w:rsid w:val="00CB2DFA"/>
    <w:rsid w:val="00CB3D9E"/>
    <w:rsid w:val="00CB612C"/>
    <w:rsid w:val="00CC04A2"/>
    <w:rsid w:val="00CC5448"/>
    <w:rsid w:val="00CD29B5"/>
    <w:rsid w:val="00CE0760"/>
    <w:rsid w:val="00CF3DB2"/>
    <w:rsid w:val="00D02C29"/>
    <w:rsid w:val="00D02C37"/>
    <w:rsid w:val="00D11A8A"/>
    <w:rsid w:val="00D12132"/>
    <w:rsid w:val="00D239A6"/>
    <w:rsid w:val="00D310DD"/>
    <w:rsid w:val="00D3183C"/>
    <w:rsid w:val="00D45E46"/>
    <w:rsid w:val="00D55255"/>
    <w:rsid w:val="00D634CD"/>
    <w:rsid w:val="00D72039"/>
    <w:rsid w:val="00D82662"/>
    <w:rsid w:val="00D85D93"/>
    <w:rsid w:val="00D91852"/>
    <w:rsid w:val="00D94AD4"/>
    <w:rsid w:val="00D96F23"/>
    <w:rsid w:val="00D97561"/>
    <w:rsid w:val="00DA3621"/>
    <w:rsid w:val="00DA4DBC"/>
    <w:rsid w:val="00DA5868"/>
    <w:rsid w:val="00DB0B1E"/>
    <w:rsid w:val="00DD44ED"/>
    <w:rsid w:val="00DD4E78"/>
    <w:rsid w:val="00DD4FF6"/>
    <w:rsid w:val="00DE26F2"/>
    <w:rsid w:val="00E0493D"/>
    <w:rsid w:val="00E05C09"/>
    <w:rsid w:val="00E20257"/>
    <w:rsid w:val="00E26495"/>
    <w:rsid w:val="00E27E68"/>
    <w:rsid w:val="00E33F75"/>
    <w:rsid w:val="00E444F3"/>
    <w:rsid w:val="00E50E56"/>
    <w:rsid w:val="00E60D8D"/>
    <w:rsid w:val="00E60FA6"/>
    <w:rsid w:val="00E70911"/>
    <w:rsid w:val="00E75319"/>
    <w:rsid w:val="00E81880"/>
    <w:rsid w:val="00E824C9"/>
    <w:rsid w:val="00E833A2"/>
    <w:rsid w:val="00E91527"/>
    <w:rsid w:val="00EA616E"/>
    <w:rsid w:val="00EB4B18"/>
    <w:rsid w:val="00ED1CCD"/>
    <w:rsid w:val="00ED6CE5"/>
    <w:rsid w:val="00EE0451"/>
    <w:rsid w:val="00EE1009"/>
    <w:rsid w:val="00EF7413"/>
    <w:rsid w:val="00F10488"/>
    <w:rsid w:val="00F4059D"/>
    <w:rsid w:val="00F50B8D"/>
    <w:rsid w:val="00F56C23"/>
    <w:rsid w:val="00F57561"/>
    <w:rsid w:val="00F63CBD"/>
    <w:rsid w:val="00F845CA"/>
    <w:rsid w:val="00F9539E"/>
    <w:rsid w:val="00F96BD4"/>
    <w:rsid w:val="00FB65B3"/>
    <w:rsid w:val="00FC05C3"/>
    <w:rsid w:val="00FC393B"/>
    <w:rsid w:val="00FD716D"/>
    <w:rsid w:val="00FF137F"/>
    <w:rsid w:val="00FF3095"/>
    <w:rsid w:val="00FF56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14"/>
    <w:pPr>
      <w:spacing w:after="200" w:line="276" w:lineRule="auto"/>
    </w:pPr>
    <w:rPr>
      <w:sz w:val="22"/>
      <w:szCs w:val="22"/>
      <w:lang w:val="id-ID" w:eastAsia="id-ID"/>
    </w:rPr>
  </w:style>
  <w:style w:type="paragraph" w:styleId="Heading2">
    <w:name w:val="heading 2"/>
    <w:basedOn w:val="Normal"/>
    <w:next w:val="Normal"/>
    <w:link w:val="Heading2Char"/>
    <w:uiPriority w:val="9"/>
    <w:semiHidden/>
    <w:unhideWhenUsed/>
    <w:qFormat/>
    <w:rsid w:val="005F67D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semiHidden/>
    <w:unhideWhenUsed/>
    <w:rsid w:val="00A0006A"/>
    <w:pPr>
      <w:tabs>
        <w:tab w:val="center" w:pos="4513"/>
        <w:tab w:val="right" w:pos="9026"/>
      </w:tabs>
      <w:spacing w:after="0" w:line="240" w:lineRule="auto"/>
    </w:pPr>
  </w:style>
  <w:style w:type="character" w:customStyle="1" w:styleId="HeaderChar">
    <w:name w:val="Header Char"/>
    <w:link w:val="Header"/>
    <w:uiPriority w:val="99"/>
    <w:semiHidden/>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F56C23"/>
    <w:rPr>
      <w:rFonts w:eastAsia="Calibri"/>
      <w:sz w:val="22"/>
      <w:szCs w:val="22"/>
      <w:lang w:val="id-ID" w:eastAsia="id-ID"/>
    </w:rPr>
  </w:style>
  <w:style w:type="character" w:styleId="Hyperlink">
    <w:name w:val="Hyperlink"/>
    <w:uiPriority w:val="99"/>
    <w:unhideWhenUsed/>
    <w:rsid w:val="00F56C23"/>
    <w:rPr>
      <w:color w:val="0000FF"/>
      <w:u w:val="single"/>
    </w:rPr>
  </w:style>
  <w:style w:type="character" w:customStyle="1" w:styleId="ListParagraphChar">
    <w:name w:val="List Paragraph Char"/>
    <w:link w:val="ListParagraph"/>
    <w:uiPriority w:val="34"/>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9675C7"/>
    <w:rPr>
      <w:rFonts w:ascii="Cambria" w:eastAsia="Times New Roman" w:hAnsi="Cambria" w:cs="Times New Roman"/>
      <w:color w:val="17365D"/>
      <w:spacing w:val="5"/>
      <w:kern w:val="28"/>
      <w:sz w:val="52"/>
      <w:szCs w:val="52"/>
      <w:lang w:val="en-US"/>
    </w:rPr>
  </w:style>
  <w:style w:type="table" w:customStyle="1" w:styleId="LightShading11">
    <w:name w:val="Light Shading11"/>
    <w:basedOn w:val="TableNormal"/>
    <w:uiPriority w:val="60"/>
    <w:rsid w:val="004F08A9"/>
    <w:rPr>
      <w:rFonts w:eastAsia="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semiHidden/>
    <w:rsid w:val="005F67D5"/>
    <w:rPr>
      <w:rFonts w:asciiTheme="majorHAnsi" w:eastAsiaTheme="majorEastAsia" w:hAnsiTheme="majorHAnsi" w:cstheme="majorBidi"/>
      <w:b/>
      <w:bCs/>
      <w:i/>
      <w:iCs/>
      <w:sz w:val="28"/>
      <w:szCs w:val="28"/>
      <w:lang w:val="id-ID" w:eastAsia="id-ID"/>
    </w:rPr>
  </w:style>
  <w:style w:type="table" w:styleId="TableGrid">
    <w:name w:val="Table Grid"/>
    <w:basedOn w:val="TableNormal"/>
    <w:uiPriority w:val="59"/>
    <w:rsid w:val="00751933"/>
    <w:rPr>
      <w:rFonts w:asciiTheme="minorHAnsi" w:eastAsiaTheme="minorEastAsia" w:hAnsiTheme="minorHAnsi" w:cstheme="minorBidi"/>
      <w:sz w:val="22"/>
      <w:szCs w:val="22"/>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D11A8A"/>
    <w:pPr>
      <w:spacing w:after="0" w:line="240" w:lineRule="auto"/>
      <w:ind w:firstLine="360"/>
      <w:jc w:val="both"/>
    </w:pPr>
    <w:rPr>
      <w:rFonts w:ascii="Times New Roman" w:hAnsi="Times New Roman"/>
      <w:noProof/>
      <w:sz w:val="24"/>
      <w:szCs w:val="24"/>
      <w:bdr w:val="none" w:sz="0" w:space="0" w:color="auto" w:frame="1"/>
      <w:lang w:val="en-US"/>
    </w:rPr>
  </w:style>
  <w:style w:type="character" w:customStyle="1" w:styleId="EndNoteBibliographyChar">
    <w:name w:val="EndNote Bibliography Char"/>
    <w:basedOn w:val="DefaultParagraphFont"/>
    <w:link w:val="EndNoteBibliography"/>
    <w:rsid w:val="00D11A8A"/>
    <w:rPr>
      <w:rFonts w:ascii="Times New Roman" w:hAnsi="Times New Roman"/>
      <w:noProof/>
      <w:sz w:val="24"/>
      <w:szCs w:val="24"/>
      <w:bdr w:val="none" w:sz="0" w:space="0" w:color="auto" w:frame="1"/>
      <w:lang w:eastAsia="id-ID"/>
    </w:rPr>
  </w:style>
</w:styles>
</file>

<file path=word/webSettings.xml><?xml version="1.0" encoding="utf-8"?>
<w:webSettings xmlns:r="http://schemas.openxmlformats.org/officeDocument/2006/relationships" xmlns:w="http://schemas.openxmlformats.org/wordprocessingml/2006/main">
  <w:divs>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utiafildza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1AE1-25CA-4BB5-A703-A1C0347B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4157</Words>
  <Characters>23698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27800</CharactersWithSpaces>
  <SharedDoc>false</SharedDoc>
  <HLinks>
    <vt:vector size="6" baseType="variant">
      <vt:variant>
        <vt:i4>4522036</vt:i4>
      </vt:variant>
      <vt:variant>
        <vt:i4>0</vt:i4>
      </vt:variant>
      <vt:variant>
        <vt:i4>0</vt:i4>
      </vt:variant>
      <vt:variant>
        <vt:i4>5</vt:i4>
      </vt:variant>
      <vt:variant>
        <vt:lpwstr>mailto:contohemail@ums.ac.id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Kesmas</cp:lastModifiedBy>
  <cp:revision>2</cp:revision>
  <cp:lastPrinted>2016-08-03T20:51:00Z</cp:lastPrinted>
  <dcterms:created xsi:type="dcterms:W3CDTF">2018-12-10T02:52:00Z</dcterms:created>
  <dcterms:modified xsi:type="dcterms:W3CDTF">2018-12-10T02:52:00Z</dcterms:modified>
</cp:coreProperties>
</file>