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512" w:rsidRDefault="000C7512" w:rsidP="000C7512">
      <w:pPr>
        <w:pStyle w:val="Title"/>
        <w:jc w:val="both"/>
        <w:rPr>
          <w:rFonts w:ascii="Arial" w:hAnsi="Arial" w:cs="Arial"/>
        </w:rPr>
      </w:pPr>
      <w:r w:rsidRPr="00987352">
        <w:rPr>
          <w:rFonts w:ascii="Arial" w:hAnsi="Arial" w:cs="Arial"/>
        </w:rPr>
        <w:t>Eksekusi Sita Jaminan Benda Oleh Lembaga Keuangan Syariah Tanpa Proses Litigasi: Studi Kasus Di Kota Magelang</w:t>
      </w:r>
    </w:p>
    <w:p w:rsidR="000C7512" w:rsidRDefault="000C7512" w:rsidP="000C7512">
      <w:pPr>
        <w:ind w:left="992" w:hanging="992"/>
        <w:rPr>
          <w:rFonts w:ascii="Arial" w:hAnsi="Arial" w:cs="Arial"/>
          <w:b/>
          <w:sz w:val="24"/>
          <w:szCs w:val="24"/>
          <w:lang w:val="id-ID"/>
        </w:rPr>
      </w:pPr>
    </w:p>
    <w:p w:rsidR="000C7512" w:rsidRDefault="000C7512" w:rsidP="000C7512">
      <w:pPr>
        <w:rPr>
          <w:lang w:val="id-ID"/>
        </w:rPr>
      </w:pPr>
      <w:r w:rsidRPr="00993463">
        <w:rPr>
          <w:lang w:val="id-ID"/>
        </w:rPr>
        <w:t>Agus Miswanto</w:t>
      </w:r>
      <w:r w:rsidRPr="00E83186">
        <w:rPr>
          <w:lang w:val="id-ID"/>
        </w:rPr>
        <w:t xml:space="preserve"> </w:t>
      </w:r>
    </w:p>
    <w:p w:rsidR="000C7512" w:rsidRDefault="000C7512" w:rsidP="000C7512">
      <w:pPr>
        <w:rPr>
          <w:lang w:val="id-ID"/>
        </w:rPr>
      </w:pPr>
      <w:r>
        <w:rPr>
          <w:lang w:val="id-ID"/>
        </w:rPr>
        <w:t xml:space="preserve">Hukum Ekonomi Syariah, Fakultas Agama Islam, Universitas Muhammadiyah Magelang </w:t>
      </w:r>
    </w:p>
    <w:p w:rsidR="000C7512" w:rsidRDefault="000C7512" w:rsidP="000C7512">
      <w:pPr>
        <w:rPr>
          <w:lang w:val="id-ID"/>
        </w:rPr>
      </w:pPr>
      <w:r>
        <w:rPr>
          <w:lang w:val="id-ID"/>
        </w:rPr>
        <w:t xml:space="preserve">email : </w:t>
      </w:r>
      <w:hyperlink r:id="rId8" w:history="1">
        <w:r w:rsidRPr="006D7F6B">
          <w:rPr>
            <w:rStyle w:val="Hyperlink"/>
            <w:b/>
            <w:bCs/>
            <w:sz w:val="20"/>
            <w:szCs w:val="20"/>
          </w:rPr>
          <w:t>agus_miswanto@ummgl.ac.id</w:t>
        </w:r>
      </w:hyperlink>
      <w:r>
        <w:t xml:space="preserve"> </w:t>
      </w:r>
      <w:r>
        <w:fldChar w:fldCharType="begin"/>
      </w:r>
      <w:r>
        <w:instrText xml:space="preserve"> HYPERLINK "mailto:aliaendah@gmail.com" </w:instrText>
      </w:r>
      <w:r>
        <w:fldChar w:fldCharType="separate"/>
      </w:r>
      <w:r>
        <w:fldChar w:fldCharType="end"/>
      </w:r>
    </w:p>
    <w:p w:rsidR="000C7512" w:rsidRPr="000C7512" w:rsidRDefault="000C7512" w:rsidP="000C7512">
      <w:pPr>
        <w:rPr>
          <w:lang w:val="id-ID"/>
        </w:rPr>
      </w:pPr>
    </w:p>
    <w:p w:rsidR="000C7512" w:rsidRDefault="000C7512" w:rsidP="000C7512">
      <w:pPr>
        <w:rPr>
          <w:lang w:val="id-ID"/>
        </w:rPr>
      </w:pPr>
      <w:r w:rsidRPr="00E83186">
        <w:rPr>
          <w:lang w:val="id-ID"/>
        </w:rPr>
        <w:t>Alia Endah Saputri</w:t>
      </w:r>
      <w:r>
        <w:rPr>
          <w:lang w:val="id-ID"/>
        </w:rPr>
        <w:t xml:space="preserve"> </w:t>
      </w:r>
    </w:p>
    <w:p w:rsidR="000C7512" w:rsidRDefault="000C7512" w:rsidP="000C7512">
      <w:pPr>
        <w:rPr>
          <w:lang w:val="id-ID"/>
        </w:rPr>
      </w:pPr>
      <w:r>
        <w:rPr>
          <w:lang w:val="id-ID"/>
        </w:rPr>
        <w:t xml:space="preserve">Hukum Ekonomi Syariah, Fakultas Agama Islam, Universitas Muhammadiyah Magelang </w:t>
      </w:r>
    </w:p>
    <w:p w:rsidR="000C7512" w:rsidRPr="000C7512" w:rsidRDefault="000C7512" w:rsidP="000C7512">
      <w:pPr>
        <w:rPr>
          <w:lang w:val="id-ID"/>
        </w:rPr>
      </w:pPr>
    </w:p>
    <w:p w:rsidR="000C7512" w:rsidRDefault="000C7512" w:rsidP="000C7512">
      <w:pPr>
        <w:rPr>
          <w:lang w:val="id-ID"/>
        </w:rPr>
      </w:pPr>
      <w:r>
        <w:rPr>
          <w:lang w:val="id-ID"/>
        </w:rPr>
        <w:t>B</w:t>
      </w:r>
      <w:r w:rsidRPr="00E83186">
        <w:rPr>
          <w:lang w:val="id-ID"/>
        </w:rPr>
        <w:t>agus Aprianto</w:t>
      </w:r>
      <w:r>
        <w:rPr>
          <w:lang w:val="id-ID"/>
        </w:rPr>
        <w:t xml:space="preserve"> </w:t>
      </w:r>
    </w:p>
    <w:p w:rsidR="000C7512" w:rsidRDefault="000C7512" w:rsidP="000C7512">
      <w:pPr>
        <w:rPr>
          <w:lang w:val="id-ID"/>
        </w:rPr>
      </w:pPr>
      <w:r>
        <w:rPr>
          <w:lang w:val="id-ID"/>
        </w:rPr>
        <w:t xml:space="preserve">Hukum Ekonomi Syariah, Fakultas Agama Islam, Universitas Muhammadiyah Magelang </w:t>
      </w:r>
    </w:p>
    <w:p w:rsidR="000C7512" w:rsidRPr="000C7512" w:rsidRDefault="000C7512" w:rsidP="000C7512">
      <w:pPr>
        <w:rPr>
          <w:lang w:val="id-ID"/>
        </w:rPr>
      </w:pPr>
    </w:p>
    <w:p w:rsidR="000C7512" w:rsidRPr="00396452" w:rsidRDefault="000C7512" w:rsidP="000C7512">
      <w:r w:rsidRPr="00E83186">
        <w:rPr>
          <w:lang w:val="id-ID"/>
        </w:rPr>
        <w:t>Fidya Nurul Ilmi Siyami</w:t>
      </w:r>
      <w:r>
        <w:t xml:space="preserve"> </w:t>
      </w:r>
    </w:p>
    <w:p w:rsidR="000C7512" w:rsidRDefault="000C7512" w:rsidP="000C7512">
      <w:pPr>
        <w:rPr>
          <w:lang w:val="id-ID"/>
        </w:rPr>
      </w:pPr>
      <w:r>
        <w:rPr>
          <w:lang w:val="id-ID"/>
        </w:rPr>
        <w:t xml:space="preserve">Hukum Ekonomi Syariah, Fakultas Agama Islam, Universitas Muhammadiyah Magelang </w:t>
      </w:r>
    </w:p>
    <w:p w:rsidR="000C7512" w:rsidRDefault="000C7512" w:rsidP="000C7512">
      <w:pPr>
        <w:ind w:left="992" w:hanging="992"/>
        <w:rPr>
          <w:rFonts w:ascii="Arial" w:hAnsi="Arial" w:cs="Arial"/>
          <w:b/>
          <w:sz w:val="24"/>
          <w:szCs w:val="24"/>
          <w:lang w:val="id-ID"/>
        </w:rPr>
      </w:pPr>
    </w:p>
    <w:p w:rsidR="000C7512" w:rsidRDefault="000C7512" w:rsidP="000C7512">
      <w:pPr>
        <w:ind w:left="992" w:hanging="992"/>
        <w:rPr>
          <w:rStyle w:val="Hyperlink"/>
          <w:rFonts w:ascii="Arial" w:hAnsi="Arial" w:cs="Arial"/>
          <w:sz w:val="24"/>
          <w:szCs w:val="24"/>
          <w:lang w:val="id-ID"/>
        </w:rPr>
      </w:pPr>
    </w:p>
    <w:tbl>
      <w:tblPr>
        <w:tblStyle w:val="TableGrid"/>
        <w:tblW w:w="9072"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985"/>
        <w:gridCol w:w="7087"/>
      </w:tblGrid>
      <w:tr w:rsidR="000C7512" w:rsidTr="00B35511">
        <w:tc>
          <w:tcPr>
            <w:tcW w:w="1985" w:type="dxa"/>
          </w:tcPr>
          <w:p w:rsidR="000C7512" w:rsidRDefault="000C7512" w:rsidP="00B35511">
            <w:pPr>
              <w:pStyle w:val="IEEEAbtract"/>
              <w:tabs>
                <w:tab w:val="left" w:pos="270"/>
              </w:tabs>
              <w:jc w:val="left"/>
              <w:rPr>
                <w:rFonts w:ascii="Goudy Old Style" w:hAnsi="Goudy Old Style"/>
                <w:sz w:val="24"/>
              </w:rPr>
            </w:pPr>
          </w:p>
        </w:tc>
        <w:tc>
          <w:tcPr>
            <w:tcW w:w="7087" w:type="dxa"/>
          </w:tcPr>
          <w:p w:rsidR="000C7512" w:rsidRDefault="000C7512" w:rsidP="00B35511">
            <w:pPr>
              <w:pStyle w:val="AbstractTitle"/>
              <w:jc w:val="left"/>
              <w:rPr>
                <w:szCs w:val="24"/>
              </w:rPr>
            </w:pPr>
            <w:r>
              <w:rPr>
                <w:szCs w:val="24"/>
              </w:rPr>
              <w:t>ABSTRACT</w:t>
            </w:r>
          </w:p>
          <w:p w:rsidR="000C7512" w:rsidRDefault="000C7512" w:rsidP="00B35511">
            <w:pPr>
              <w:pStyle w:val="AbstractText"/>
              <w:spacing w:after="0" w:line="240" w:lineRule="auto"/>
              <w:ind w:left="0"/>
              <w:jc w:val="both"/>
              <w:rPr>
                <w:rFonts w:eastAsia="MS PGothic"/>
                <w:i/>
                <w:color w:val="222222"/>
                <w:sz w:val="24"/>
                <w:szCs w:val="24"/>
              </w:rPr>
            </w:pPr>
            <w:r w:rsidRPr="002C3C3A">
              <w:rPr>
                <w:rFonts w:eastAsia="MS PGothic"/>
                <w:i/>
                <w:color w:val="222222"/>
                <w:sz w:val="24"/>
                <w:szCs w:val="24"/>
              </w:rPr>
              <w:t xml:space="preserve">This study attempts to analyze the execution of collateral confiscation of objects carried out by Islamic Financial Institutions in Magelang City. This research is a qualitative descriptive study using the depth interview method. The results of this study indicate that the Islamic Financial Institutions in Magelang City do not use litigation channels, but non-litigation processes, such as auctions by auction houses and underhand sales. The main reasons for using the non-litigation </w:t>
            </w:r>
            <w:r w:rsidR="00B274B2" w:rsidRPr="00B274B2">
              <w:rPr>
                <w:rFonts w:eastAsia="MS PGothic"/>
                <w:i/>
                <w:color w:val="222222"/>
                <w:sz w:val="24"/>
                <w:szCs w:val="24"/>
              </w:rPr>
              <w:t>processes</w:t>
            </w:r>
            <w:r w:rsidRPr="002C3C3A">
              <w:rPr>
                <w:rFonts w:eastAsia="MS PGothic"/>
                <w:i/>
                <w:color w:val="222222"/>
                <w:sz w:val="24"/>
                <w:szCs w:val="24"/>
              </w:rPr>
              <w:t xml:space="preserve"> are because it is cheap, simple, does not take time, and the awareness of the parties in non-litigation dispute resolution.</w:t>
            </w:r>
          </w:p>
          <w:p w:rsidR="00D148D0" w:rsidRDefault="00D148D0" w:rsidP="00B35511">
            <w:pPr>
              <w:pStyle w:val="AbstractText"/>
              <w:spacing w:after="0" w:line="240" w:lineRule="auto"/>
              <w:ind w:left="0"/>
              <w:jc w:val="both"/>
              <w:rPr>
                <w:rFonts w:eastAsia="MS PGothic"/>
                <w:i/>
                <w:color w:val="222222"/>
                <w:sz w:val="24"/>
                <w:szCs w:val="24"/>
              </w:rPr>
            </w:pPr>
          </w:p>
          <w:p w:rsidR="00D148D0" w:rsidRDefault="00D148D0" w:rsidP="00B35511">
            <w:pPr>
              <w:pStyle w:val="AbstractText"/>
              <w:spacing w:after="0" w:line="240" w:lineRule="auto"/>
              <w:ind w:left="0"/>
              <w:jc w:val="both"/>
              <w:rPr>
                <w:rFonts w:eastAsia="MS PGothic"/>
                <w:i/>
                <w:color w:val="222222"/>
                <w:sz w:val="24"/>
                <w:szCs w:val="24"/>
              </w:rPr>
            </w:pPr>
            <w:r>
              <w:rPr>
                <w:rFonts w:eastAsia="MS PGothic"/>
                <w:i/>
                <w:color w:val="222222"/>
                <w:sz w:val="24"/>
                <w:szCs w:val="24"/>
              </w:rPr>
              <w:t xml:space="preserve">Keywords: </w:t>
            </w:r>
            <w:r w:rsidRPr="00D148D0">
              <w:rPr>
                <w:rFonts w:eastAsia="MS PGothic"/>
                <w:i/>
                <w:color w:val="222222"/>
                <w:sz w:val="24"/>
                <w:szCs w:val="24"/>
              </w:rPr>
              <w:t>non litigation, mortgage, Fiduciary, LKS, Execution</w:t>
            </w:r>
          </w:p>
          <w:p w:rsidR="000C7512" w:rsidRDefault="000C7512" w:rsidP="00B35511">
            <w:pPr>
              <w:pStyle w:val="AbstractText"/>
              <w:spacing w:after="0" w:line="240" w:lineRule="auto"/>
              <w:ind w:left="0"/>
              <w:jc w:val="both"/>
              <w:rPr>
                <w:rFonts w:eastAsia="MS PGothic"/>
                <w:i/>
                <w:color w:val="FF0000"/>
                <w:sz w:val="24"/>
                <w:szCs w:val="24"/>
              </w:rPr>
            </w:pPr>
          </w:p>
          <w:p w:rsidR="000C7512" w:rsidRPr="000C7512" w:rsidRDefault="000C7512" w:rsidP="000C7512">
            <w:pPr>
              <w:pStyle w:val="AbstractTitle"/>
              <w:jc w:val="left"/>
              <w:rPr>
                <w:szCs w:val="24"/>
              </w:rPr>
            </w:pPr>
            <w:r w:rsidRPr="000C7512">
              <w:rPr>
                <w:szCs w:val="24"/>
              </w:rPr>
              <w:t>ABSTRAK</w:t>
            </w:r>
          </w:p>
          <w:p w:rsidR="000C7512" w:rsidRDefault="000C7512" w:rsidP="00B35511">
            <w:pPr>
              <w:pStyle w:val="AbstractText"/>
              <w:spacing w:after="0" w:line="240" w:lineRule="auto"/>
              <w:ind w:left="0"/>
              <w:jc w:val="both"/>
              <w:rPr>
                <w:rFonts w:eastAsia="MS PGothic"/>
                <w:i/>
                <w:color w:val="222222"/>
                <w:sz w:val="24"/>
                <w:szCs w:val="24"/>
              </w:rPr>
            </w:pPr>
            <w:r w:rsidRPr="002C3C3A">
              <w:rPr>
                <w:rFonts w:eastAsia="MS PGothic"/>
                <w:i/>
                <w:color w:val="222222"/>
                <w:sz w:val="24"/>
                <w:szCs w:val="24"/>
              </w:rPr>
              <w:t xml:space="preserve">Penelitian ini mencoba untuk menganalisa pelaksanaan eksekusi sita jaminan terhadap benda yang dilakukan oleh Lembaga Keuangan Syariah di Kota Magelang. Penelitian ini merupakan </w:t>
            </w:r>
            <w:proofErr w:type="gramStart"/>
            <w:r w:rsidRPr="002C3C3A">
              <w:rPr>
                <w:rFonts w:eastAsia="MS PGothic"/>
                <w:i/>
                <w:color w:val="222222"/>
                <w:sz w:val="24"/>
                <w:szCs w:val="24"/>
              </w:rPr>
              <w:t>penelitian  deskriptif</w:t>
            </w:r>
            <w:proofErr w:type="gramEnd"/>
            <w:r w:rsidRPr="002C3C3A">
              <w:rPr>
                <w:rFonts w:eastAsia="MS PGothic"/>
                <w:i/>
                <w:color w:val="222222"/>
                <w:sz w:val="24"/>
                <w:szCs w:val="24"/>
              </w:rPr>
              <w:t xml:space="preserve"> kualitatif dengan menggunakan metode depth interview. Hasil penelitian ini menunjukkan bahwa Lembaga Keuangan Syariah di Kota Magelang dalam proses eksekusi sita jaminan tidak menggunakan jalur litigasi, tetapi proses non-litigasi, seperti lelang oleh balai lelang dan penjualan dibawah tangan. Alasan utama penggunaan jalur non litigasi, karena berbiaya murah, sederhana, tidak memakan waktu, dan kesadaran para pihak dalam penyelesaian sengketa non litigasi.</w:t>
            </w:r>
          </w:p>
          <w:p w:rsidR="000C7512" w:rsidRPr="002C3C3A" w:rsidRDefault="000C7512" w:rsidP="00B35511">
            <w:pPr>
              <w:pStyle w:val="AbstractText"/>
              <w:spacing w:after="0" w:line="240" w:lineRule="auto"/>
              <w:ind w:left="0"/>
              <w:jc w:val="both"/>
              <w:rPr>
                <w:rFonts w:eastAsia="MS PGothic"/>
                <w:i/>
                <w:color w:val="222222"/>
                <w:sz w:val="24"/>
                <w:szCs w:val="24"/>
              </w:rPr>
            </w:pPr>
          </w:p>
          <w:p w:rsidR="000C7512" w:rsidRPr="00D148D0" w:rsidRDefault="00D148D0" w:rsidP="00D148D0">
            <w:pPr>
              <w:pStyle w:val="AbstractText"/>
              <w:spacing w:after="0" w:line="240" w:lineRule="auto"/>
              <w:ind w:left="0"/>
              <w:jc w:val="both"/>
              <w:rPr>
                <w:rFonts w:eastAsia="MS PGothic"/>
                <w:i/>
                <w:color w:val="222222"/>
                <w:sz w:val="24"/>
                <w:szCs w:val="24"/>
              </w:rPr>
            </w:pPr>
            <w:r>
              <w:rPr>
                <w:rFonts w:eastAsia="MS PGothic"/>
                <w:i/>
                <w:color w:val="222222"/>
                <w:sz w:val="24"/>
                <w:szCs w:val="24"/>
              </w:rPr>
              <w:t>Kata Kunci</w:t>
            </w:r>
            <w:r w:rsidR="000C7512">
              <w:rPr>
                <w:rFonts w:eastAsia="MS PGothic"/>
                <w:i/>
                <w:color w:val="222222"/>
                <w:sz w:val="24"/>
                <w:szCs w:val="24"/>
              </w:rPr>
              <w:t xml:space="preserve">: </w:t>
            </w:r>
            <w:r>
              <w:rPr>
                <w:rFonts w:eastAsia="MS PGothic"/>
                <w:i/>
                <w:color w:val="222222"/>
                <w:sz w:val="24"/>
                <w:szCs w:val="24"/>
              </w:rPr>
              <w:t>non litigasi,</w:t>
            </w:r>
            <w:r w:rsidR="000C7512">
              <w:rPr>
                <w:rFonts w:eastAsia="MS PGothic"/>
                <w:i/>
                <w:color w:val="222222"/>
                <w:sz w:val="24"/>
                <w:szCs w:val="24"/>
              </w:rPr>
              <w:t xml:space="preserve"> </w:t>
            </w:r>
            <w:r>
              <w:rPr>
                <w:rFonts w:eastAsia="MS PGothic"/>
                <w:i/>
                <w:color w:val="222222"/>
                <w:sz w:val="24"/>
                <w:szCs w:val="24"/>
              </w:rPr>
              <w:t>hak tanggungan</w:t>
            </w:r>
            <w:r w:rsidR="000C7512">
              <w:rPr>
                <w:rFonts w:eastAsia="MS PGothic"/>
                <w:i/>
                <w:color w:val="222222"/>
                <w:sz w:val="24"/>
                <w:szCs w:val="24"/>
              </w:rPr>
              <w:t xml:space="preserve">, </w:t>
            </w:r>
            <w:r>
              <w:rPr>
                <w:rFonts w:eastAsia="MS PGothic"/>
                <w:i/>
                <w:color w:val="222222"/>
                <w:sz w:val="24"/>
                <w:szCs w:val="24"/>
              </w:rPr>
              <w:t>Fidusia, LKS, Eksekusi</w:t>
            </w:r>
          </w:p>
        </w:tc>
      </w:tr>
    </w:tbl>
    <w:p w:rsidR="00F81A3A" w:rsidRDefault="00F81A3A" w:rsidP="00396452">
      <w:pPr>
        <w:jc w:val="both"/>
        <w:rPr>
          <w:b/>
          <w:bCs/>
          <w:sz w:val="24"/>
          <w:szCs w:val="24"/>
          <w:lang w:val="id-ID"/>
        </w:rPr>
      </w:pPr>
    </w:p>
    <w:p w:rsidR="00C17CAE" w:rsidRDefault="00C17CAE" w:rsidP="00396452">
      <w:pPr>
        <w:pStyle w:val="ListParagraph"/>
        <w:numPr>
          <w:ilvl w:val="0"/>
          <w:numId w:val="1"/>
        </w:numPr>
        <w:jc w:val="both"/>
        <w:rPr>
          <w:b/>
          <w:bCs/>
          <w:sz w:val="24"/>
          <w:szCs w:val="24"/>
          <w:lang w:val="id-ID"/>
        </w:rPr>
        <w:sectPr w:rsidR="00C17CAE" w:rsidSect="00D148D0">
          <w:headerReference w:type="default" r:id="rId9"/>
          <w:footerReference w:type="default" r:id="rId10"/>
          <w:pgSz w:w="11907" w:h="16839" w:code="9"/>
          <w:pgMar w:top="1440" w:right="1440" w:bottom="1440" w:left="1440" w:header="709" w:footer="709" w:gutter="0"/>
          <w:cols w:space="708"/>
          <w:docGrid w:linePitch="360"/>
        </w:sectPr>
      </w:pPr>
    </w:p>
    <w:p w:rsidR="00F81A3A" w:rsidRPr="000C7512" w:rsidRDefault="00F81A3A" w:rsidP="00D148D0">
      <w:pPr>
        <w:pStyle w:val="Heading2"/>
        <w:spacing w:line="360" w:lineRule="auto"/>
        <w:rPr>
          <w:lang w:val="id-ID"/>
        </w:rPr>
      </w:pPr>
      <w:r w:rsidRPr="000C7512">
        <w:rPr>
          <w:lang w:val="id-ID"/>
        </w:rPr>
        <w:lastRenderedPageBreak/>
        <w:t>PENDAHULUAN</w:t>
      </w:r>
    </w:p>
    <w:p w:rsidR="00F81A3A" w:rsidRPr="000C7512" w:rsidRDefault="00C17CAE" w:rsidP="00FE21CB">
      <w:pPr>
        <w:spacing w:line="360" w:lineRule="auto"/>
        <w:ind w:firstLine="426"/>
        <w:jc w:val="both"/>
        <w:rPr>
          <w:sz w:val="24"/>
          <w:szCs w:val="24"/>
        </w:rPr>
      </w:pPr>
      <w:r w:rsidRPr="000C7512">
        <w:rPr>
          <w:sz w:val="24"/>
          <w:szCs w:val="24"/>
          <w:lang w:val="id-ID"/>
        </w:rPr>
        <w:t>S</w:t>
      </w:r>
      <w:r w:rsidR="00F81A3A" w:rsidRPr="000C7512">
        <w:rPr>
          <w:sz w:val="24"/>
          <w:szCs w:val="24"/>
          <w:lang w:val="id-ID"/>
        </w:rPr>
        <w:t>ecara kuantitas,</w:t>
      </w:r>
      <w:r w:rsidR="00624BD9" w:rsidRPr="000C7512">
        <w:rPr>
          <w:sz w:val="24"/>
          <w:szCs w:val="24"/>
          <w:lang w:val="id-ID"/>
        </w:rPr>
        <w:t xml:space="preserve"> </w:t>
      </w:r>
      <w:r w:rsidR="00B61351" w:rsidRPr="000C7512">
        <w:rPr>
          <w:sz w:val="24"/>
          <w:szCs w:val="24"/>
          <w:lang w:val="id-ID"/>
        </w:rPr>
        <w:t xml:space="preserve">perkara ekonomi syariah yang masuk ke pengadilan agama Magelang sangat sedikit, yaitu hanya 12 perkara. Dan dari perkara tersebut, di tengah proses pengadilan, banyak dicabut oleh para pihak yang berperkara. </w:t>
      </w:r>
      <w:r w:rsidR="00F81A3A" w:rsidRPr="000C7512">
        <w:rPr>
          <w:sz w:val="24"/>
          <w:szCs w:val="24"/>
          <w:lang w:val="id-ID"/>
        </w:rPr>
        <w:t>Data Pengadilan Agama Magelang, dari tahun 201</w:t>
      </w:r>
      <w:r w:rsidR="00B61351" w:rsidRPr="000C7512">
        <w:rPr>
          <w:sz w:val="24"/>
          <w:szCs w:val="24"/>
          <w:lang w:val="id-ID"/>
        </w:rPr>
        <w:t>4-2020</w:t>
      </w:r>
      <w:r w:rsidR="00624BD9" w:rsidRPr="000C7512">
        <w:rPr>
          <w:sz w:val="24"/>
          <w:szCs w:val="24"/>
          <w:lang w:val="id-ID"/>
        </w:rPr>
        <w:t>, menunjukkan banyak gugu</w:t>
      </w:r>
      <w:r w:rsidR="00F81A3A" w:rsidRPr="000C7512">
        <w:rPr>
          <w:sz w:val="24"/>
          <w:szCs w:val="24"/>
          <w:lang w:val="id-ID"/>
        </w:rPr>
        <w:t>tan ekonomi syariah yang dicabut oleh Lembaga Keuangan Syariah</w:t>
      </w:r>
      <w:r w:rsidR="00075C7C" w:rsidRPr="000C7512">
        <w:rPr>
          <w:sz w:val="24"/>
          <w:szCs w:val="24"/>
          <w:lang w:val="id-ID"/>
        </w:rPr>
        <w:t xml:space="preserve"> </w:t>
      </w:r>
      <w:r w:rsidR="00F81A3A" w:rsidRPr="000C7512">
        <w:rPr>
          <w:sz w:val="24"/>
          <w:szCs w:val="24"/>
          <w:lang w:val="id-ID"/>
        </w:rPr>
        <w:t>(LKS). Selama kurun waktu tersebut sebanyak 1</w:t>
      </w:r>
      <w:r w:rsidR="00B61351" w:rsidRPr="000C7512">
        <w:rPr>
          <w:sz w:val="24"/>
          <w:szCs w:val="24"/>
        </w:rPr>
        <w:t>2</w:t>
      </w:r>
      <w:r w:rsidR="00F81A3A" w:rsidRPr="000C7512">
        <w:rPr>
          <w:sz w:val="24"/>
          <w:szCs w:val="24"/>
          <w:lang w:val="id-ID"/>
        </w:rPr>
        <w:t xml:space="preserve"> gugatan ekonomi syariah masuk, 5 perkara diantaranya dicabut,</w:t>
      </w:r>
      <w:r w:rsidR="00624BD9" w:rsidRPr="000C7512">
        <w:rPr>
          <w:sz w:val="24"/>
          <w:szCs w:val="24"/>
          <w:lang w:val="id-ID"/>
        </w:rPr>
        <w:t xml:space="preserve"> 2 dikabulkan sampai putusan banding, 2 ditolak, dan 1 dikabulkan lewat putusan Pengadilan Agama Kota Magelang</w:t>
      </w:r>
      <w:r w:rsidR="00FE21CB">
        <w:rPr>
          <w:rStyle w:val="FootnoteReference"/>
          <w:sz w:val="24"/>
          <w:szCs w:val="24"/>
          <w:lang w:val="id-ID"/>
        </w:rPr>
        <w:fldChar w:fldCharType="begin" w:fldLock="1"/>
      </w:r>
      <w:r w:rsidR="00FE21CB">
        <w:rPr>
          <w:sz w:val="24"/>
          <w:szCs w:val="24"/>
          <w:lang w:val="id-ID"/>
        </w:rPr>
        <w:instrText>ADDIN CSL_CITATION {"citationItems":[{"id":"ITEM-1","itemData":{"URL":"http://sipp.pa-magelang.go.id/","accessed":{"date-parts":[["2020","5","14"]]},"author":[{"dropping-particle":"","family":"Pengadilan Agama Magelang","given":"","non-dropping-particle":"","parse-names":false,"suffix":""}],"container-title":"Sistem Informasi Penelusuran Perkara Pengadilan Agama Magelang","id":"ITEM-1","issued":{"date-parts":[["2016"]]},"number":"Versi 3.3.0-1","publisher":"Mahkamah Agung Republik Indonesia","publisher-place":"Jakarta","title":"Daftar Perkara Perdata Gugatan","type":"webpage"},"uris":["http://www.mendeley.com/documents/?uuid=9a4f4d03-fa02-48a8-9727-351df8478f1b"]}],"mendeley":{"formattedCitation":"(Pengadilan Agama Magelang, 2016)","plainTextFormattedCitation":"(Pengadilan Agama Magelang, 2016)","previouslyFormattedCitation":"Pengadilan Agama Magelang, ‘Daftar Perkara Perdata Gugatan’, &lt;i&gt;Sistem Informasi Penelusuran Perkara Pengadilan Agama Magelang&lt;/i&gt; (Jakarta: Mahkamah Agung Republik Indonesia, 2016) &lt;http://sipp.pa-magelang.go.id/&gt; [accessed 14 May 2020]."},"properties":{"noteIndex":0},"schema":"https://github.com/citation-style-language/schema/raw/master/csl-citation.json"}</w:instrText>
      </w:r>
      <w:r w:rsidR="00FE21CB">
        <w:rPr>
          <w:rStyle w:val="FootnoteReference"/>
          <w:sz w:val="24"/>
          <w:szCs w:val="24"/>
          <w:lang w:val="id-ID"/>
        </w:rPr>
        <w:fldChar w:fldCharType="separate"/>
      </w:r>
      <w:r w:rsidR="00FE21CB" w:rsidRPr="00FE21CB">
        <w:rPr>
          <w:noProof/>
          <w:sz w:val="24"/>
          <w:szCs w:val="24"/>
          <w:lang w:val="id-ID"/>
        </w:rPr>
        <w:t>(Pengadilan Agama Magelang, 2016)</w:t>
      </w:r>
      <w:r w:rsidR="00FE21CB">
        <w:rPr>
          <w:rStyle w:val="FootnoteReference"/>
          <w:sz w:val="24"/>
          <w:szCs w:val="24"/>
          <w:lang w:val="id-ID"/>
        </w:rPr>
        <w:fldChar w:fldCharType="end"/>
      </w:r>
      <w:r w:rsidR="00624BD9" w:rsidRPr="000C7512">
        <w:rPr>
          <w:sz w:val="24"/>
          <w:szCs w:val="24"/>
          <w:lang w:val="id-ID"/>
        </w:rPr>
        <w:t>.</w:t>
      </w:r>
      <w:r w:rsidR="00F81A3A" w:rsidRPr="000C7512">
        <w:rPr>
          <w:sz w:val="24"/>
          <w:szCs w:val="24"/>
          <w:lang w:val="id-ID"/>
        </w:rPr>
        <w:t xml:space="preserve"> </w:t>
      </w:r>
      <w:r w:rsidR="00D91205" w:rsidRPr="000C7512">
        <w:rPr>
          <w:sz w:val="24"/>
          <w:szCs w:val="24"/>
        </w:rPr>
        <w:t xml:space="preserve">Disamping </w:t>
      </w:r>
      <w:r w:rsidR="00F4603B" w:rsidRPr="000C7512">
        <w:rPr>
          <w:sz w:val="24"/>
          <w:szCs w:val="24"/>
        </w:rPr>
        <w:t>itu</w:t>
      </w:r>
      <w:r w:rsidR="00D91205" w:rsidRPr="000C7512">
        <w:rPr>
          <w:sz w:val="24"/>
          <w:szCs w:val="24"/>
        </w:rPr>
        <w:t>,</w:t>
      </w:r>
      <w:r w:rsidR="00F4603B" w:rsidRPr="000C7512">
        <w:rPr>
          <w:sz w:val="24"/>
          <w:szCs w:val="24"/>
        </w:rPr>
        <w:t xml:space="preserve"> berdasarkan data yang ada, bahwa</w:t>
      </w:r>
      <w:r w:rsidR="00D91205" w:rsidRPr="000C7512">
        <w:rPr>
          <w:sz w:val="24"/>
          <w:szCs w:val="24"/>
        </w:rPr>
        <w:t xml:space="preserve"> perkara ekonomi syariah yang mas</w:t>
      </w:r>
      <w:r w:rsidR="00E823DE" w:rsidRPr="000C7512">
        <w:rPr>
          <w:sz w:val="24"/>
          <w:szCs w:val="24"/>
        </w:rPr>
        <w:t>uk</w:t>
      </w:r>
      <w:r w:rsidR="00D91205" w:rsidRPr="000C7512">
        <w:rPr>
          <w:sz w:val="24"/>
          <w:szCs w:val="24"/>
        </w:rPr>
        <w:t xml:space="preserve"> ke pengadilan sesunggguhnya relative kecil dibandingkan dengan perkara perdata lainya, seperti perceraian</w:t>
      </w:r>
      <w:r w:rsidR="00F4603B" w:rsidRPr="000C7512">
        <w:rPr>
          <w:sz w:val="24"/>
          <w:szCs w:val="24"/>
        </w:rPr>
        <w:t xml:space="preserve"> ataupun waris</w:t>
      </w:r>
      <w:r w:rsidR="00FE21CB">
        <w:rPr>
          <w:rStyle w:val="FootnoteReference"/>
          <w:sz w:val="24"/>
          <w:szCs w:val="24"/>
        </w:rPr>
        <w:fldChar w:fldCharType="begin" w:fldLock="1"/>
      </w:r>
      <w:r w:rsidR="00FE21CB">
        <w:rPr>
          <w:sz w:val="24"/>
          <w:szCs w:val="24"/>
        </w:rPr>
        <w:instrText>ADDIN CSL_CITATION {"citationItems":[{"id":"ITEM-1","itemData":{"URL":"http://sipp.pa-magelang.go.id/","accessed":{"date-parts":[["2020","5","14"]]},"author":[{"dropping-particle":"","family":"Pengadilan Agama Magelang","given":"","non-dropping-particle":"","parse-names":false,"suffix":""}],"container-title":"Sistem Informasi Penelusuran Perkara Pengadilan Agama Magelang","id":"ITEM-1","issued":{"date-parts":[["2016"]]},"number":"Versi 3.3.0-1","publisher":"Mahkamah Agung Republik Indonesia","publisher-place":"Jakarta","title":"Daftar Perkara Perdata Gugatan","type":"webpage"},"uris":["http://www.mendeley.com/documents/?uuid=9a4f4d03-fa02-48a8-9727-351df8478f1b"]}],"mendeley":{"formattedCitation":"(Pengadilan Agama Magelang, 2016)","plainTextFormattedCitation":"(Pengadilan Agama Magelang, 2016)","previouslyFormattedCitation":"Pengadilan Agama Magelang."},"properties":{"noteIndex":0},"schema":"https://github.com/citation-style-language/schema/raw/master/csl-citation.json"}</w:instrText>
      </w:r>
      <w:r w:rsidR="00FE21CB">
        <w:rPr>
          <w:rStyle w:val="FootnoteReference"/>
          <w:sz w:val="24"/>
          <w:szCs w:val="24"/>
        </w:rPr>
        <w:fldChar w:fldCharType="separate"/>
      </w:r>
      <w:r w:rsidR="00FE21CB" w:rsidRPr="00FE21CB">
        <w:rPr>
          <w:noProof/>
          <w:sz w:val="24"/>
          <w:szCs w:val="24"/>
        </w:rPr>
        <w:t>(Pengadilan Agama Magelang, 2016)</w:t>
      </w:r>
      <w:r w:rsidR="00FE21CB">
        <w:rPr>
          <w:rStyle w:val="FootnoteReference"/>
          <w:sz w:val="24"/>
          <w:szCs w:val="24"/>
        </w:rPr>
        <w:fldChar w:fldCharType="end"/>
      </w:r>
      <w:r w:rsidR="00F4603B" w:rsidRPr="000C7512">
        <w:rPr>
          <w:sz w:val="24"/>
          <w:szCs w:val="24"/>
        </w:rPr>
        <w:t xml:space="preserve">. </w:t>
      </w:r>
    </w:p>
    <w:p w:rsidR="00F26C68" w:rsidRPr="000C7512" w:rsidRDefault="00F81A3A" w:rsidP="00FE21CB">
      <w:pPr>
        <w:spacing w:line="360" w:lineRule="auto"/>
        <w:ind w:firstLine="426"/>
        <w:jc w:val="both"/>
        <w:rPr>
          <w:sz w:val="24"/>
          <w:szCs w:val="24"/>
        </w:rPr>
      </w:pPr>
      <w:r w:rsidRPr="000C7512">
        <w:rPr>
          <w:sz w:val="24"/>
          <w:szCs w:val="24"/>
        </w:rPr>
        <w:t>Fenomena pencabutan sengketa ekonomi syariah menunjukkan bahwa para pihak banyak tidak menyelesaikan proses sengketanya melalui proses litigasi. Dengan dicabutnya perkara dan tidak ada putusan tentang eksekusi sita jaminan dari pengadilan tentuny</w:t>
      </w:r>
      <w:bookmarkStart w:id="0" w:name="_GoBack"/>
      <w:bookmarkEnd w:id="0"/>
      <w:r w:rsidRPr="000C7512">
        <w:rPr>
          <w:sz w:val="24"/>
          <w:szCs w:val="24"/>
        </w:rPr>
        <w:t xml:space="preserve">a </w:t>
      </w:r>
      <w:proofErr w:type="gramStart"/>
      <w:r w:rsidRPr="000C7512">
        <w:rPr>
          <w:sz w:val="24"/>
          <w:szCs w:val="24"/>
        </w:rPr>
        <w:t>akan</w:t>
      </w:r>
      <w:proofErr w:type="gramEnd"/>
      <w:r w:rsidRPr="000C7512">
        <w:rPr>
          <w:sz w:val="24"/>
          <w:szCs w:val="24"/>
        </w:rPr>
        <w:t xml:space="preserve"> mempersulit lembaga keuangan syariah untuk melakukan eksekusi terhadap sita jaminan itu. Karena berdasarkan perundangan yang berlaku,</w:t>
      </w:r>
      <w:r w:rsidR="00294B49" w:rsidRPr="000C7512">
        <w:rPr>
          <w:sz w:val="24"/>
          <w:szCs w:val="24"/>
        </w:rPr>
        <w:t xml:space="preserve"> e</w:t>
      </w:r>
      <w:r w:rsidRPr="000C7512">
        <w:rPr>
          <w:sz w:val="24"/>
          <w:szCs w:val="24"/>
        </w:rPr>
        <w:t xml:space="preserve">ksekusi sita jaminan </w:t>
      </w:r>
      <w:r w:rsidR="001712B5" w:rsidRPr="000C7512">
        <w:rPr>
          <w:sz w:val="24"/>
          <w:szCs w:val="24"/>
        </w:rPr>
        <w:t>yang dilakukan</w:t>
      </w:r>
      <w:r w:rsidRPr="000C7512">
        <w:rPr>
          <w:sz w:val="24"/>
          <w:szCs w:val="24"/>
        </w:rPr>
        <w:t xml:space="preserve"> </w:t>
      </w:r>
      <w:r w:rsidR="00D26827" w:rsidRPr="000C7512">
        <w:rPr>
          <w:sz w:val="24"/>
          <w:szCs w:val="24"/>
        </w:rPr>
        <w:t>LKS</w:t>
      </w:r>
      <w:r w:rsidRPr="000C7512">
        <w:rPr>
          <w:sz w:val="24"/>
          <w:szCs w:val="24"/>
        </w:rPr>
        <w:t xml:space="preserve"> harus berdasarkan pada Pasal 24 </w:t>
      </w:r>
      <w:r w:rsidRPr="000C7512">
        <w:rPr>
          <w:i/>
          <w:iCs/>
          <w:sz w:val="24"/>
          <w:szCs w:val="24"/>
        </w:rPr>
        <w:t>Reglemen Indonesia</w:t>
      </w:r>
      <w:r w:rsidR="00BA154E" w:rsidRPr="000C7512">
        <w:rPr>
          <w:i/>
          <w:iCs/>
          <w:sz w:val="24"/>
          <w:szCs w:val="24"/>
        </w:rPr>
        <w:t xml:space="preserve"> </w:t>
      </w:r>
      <w:r w:rsidRPr="000C7512">
        <w:rPr>
          <w:sz w:val="24"/>
          <w:szCs w:val="24"/>
        </w:rPr>
        <w:t xml:space="preserve">jo Pasal 258 </w:t>
      </w:r>
      <w:r w:rsidRPr="000C7512">
        <w:rPr>
          <w:i/>
          <w:iCs/>
          <w:sz w:val="24"/>
          <w:szCs w:val="24"/>
        </w:rPr>
        <w:t>Rechtsreglement Buitengewesten</w:t>
      </w:r>
      <w:r w:rsidRPr="000C7512">
        <w:rPr>
          <w:sz w:val="24"/>
          <w:szCs w:val="24"/>
        </w:rPr>
        <w:t xml:space="preserve"> dan Pasal 18, 19 </w:t>
      </w:r>
      <w:r w:rsidRPr="000C7512">
        <w:rPr>
          <w:i/>
          <w:iCs/>
          <w:sz w:val="24"/>
          <w:szCs w:val="24"/>
        </w:rPr>
        <w:t>Staatsblad</w:t>
      </w:r>
      <w:r w:rsidRPr="000C7512">
        <w:rPr>
          <w:sz w:val="24"/>
          <w:szCs w:val="24"/>
        </w:rPr>
        <w:t xml:space="preserve"> 1908-542. Eksekusi dilakukan melalui penjualan dengan cara pelelangan dengan dasar putusan pengadilan</w:t>
      </w:r>
      <w:r w:rsidR="00A03182" w:rsidRPr="000C7512">
        <w:rPr>
          <w:sz w:val="24"/>
          <w:szCs w:val="24"/>
        </w:rPr>
        <w:t>.</w:t>
      </w:r>
      <w:r w:rsidR="00FE21CB">
        <w:rPr>
          <w:rStyle w:val="FootnoteReference"/>
          <w:sz w:val="24"/>
          <w:szCs w:val="24"/>
        </w:rPr>
        <w:fldChar w:fldCharType="begin" w:fldLock="1"/>
      </w:r>
      <w:r w:rsidR="00FE21CB">
        <w:rPr>
          <w:sz w:val="24"/>
          <w:szCs w:val="24"/>
        </w:rPr>
        <w:instrText>ADDIN CSL_CITATION {"citationItems":[{"id":"ITEM-1","itemData":{"ISBN":"978-979-007-303-6","author":[{"dropping-particle":"","family":"Sutedi","given":"Ardian","non-dropping-particle":"","parse-names":false,"suffix":""}],"edition":"2","editor":[{"dropping-particle":"","family":"Tarmizi","given":"","non-dropping-particle":"","parse-names":false,"suffix":""}],"id":"ITEM-1","issued":{"date-parts":[["2012"]]},"number-of-pages":"280","publisher":"Sinar Grafika","publisher-place":"Jakarta","title":"Hukum Hak Tanggungan","type":"book"},"uris":["http://www.mendeley.com/documents/?uuid=437c44c3-67fb-4241-8dab-86dfd4dd234d","http://www.mendeley.com/documents/?uuid=ab640f86-6385-48cc-843f-b00719b66903"]}],"mendeley":{"formattedCitation":"(Sutedi, 2012)","plainTextFormattedCitation":"(Sutedi, 2012)","previouslyFormattedCitation":"Ardian Sutedi, &lt;i&gt;Hukum Hak Tanggungan&lt;/i&gt;, ed. by Tarmizi, 2nd edn (Jakarta: Sinar Grafika, 2012)."},"properties":{"noteIndex":0},"schema":"https://github.com/citation-style-language/schema/raw/master/csl-citation.json"}</w:instrText>
      </w:r>
      <w:r w:rsidR="00FE21CB">
        <w:rPr>
          <w:rStyle w:val="FootnoteReference"/>
          <w:sz w:val="24"/>
          <w:szCs w:val="24"/>
        </w:rPr>
        <w:fldChar w:fldCharType="separate"/>
      </w:r>
      <w:r w:rsidR="00FE21CB" w:rsidRPr="00FE21CB">
        <w:rPr>
          <w:bCs/>
          <w:noProof/>
          <w:sz w:val="24"/>
          <w:szCs w:val="24"/>
        </w:rPr>
        <w:t>(Sutedi, 2012)</w:t>
      </w:r>
      <w:r w:rsidR="00FE21CB">
        <w:rPr>
          <w:rStyle w:val="FootnoteReference"/>
          <w:sz w:val="24"/>
          <w:szCs w:val="24"/>
        </w:rPr>
        <w:fldChar w:fldCharType="end"/>
      </w:r>
      <w:r w:rsidRPr="000C7512">
        <w:rPr>
          <w:sz w:val="24"/>
          <w:szCs w:val="24"/>
        </w:rPr>
        <w:t xml:space="preserve"> Sedangkan eksekusi sita jaminan dengan </w:t>
      </w:r>
      <w:proofErr w:type="gramStart"/>
      <w:r w:rsidRPr="000C7512">
        <w:rPr>
          <w:sz w:val="24"/>
          <w:szCs w:val="24"/>
        </w:rPr>
        <w:t>cara</w:t>
      </w:r>
      <w:proofErr w:type="gramEnd"/>
      <w:r w:rsidRPr="000C7512">
        <w:rPr>
          <w:sz w:val="24"/>
          <w:szCs w:val="24"/>
        </w:rPr>
        <w:t xml:space="preserve"> pelelangan yang lain dapat dilakukan dengan bantuan Kantor Pelelangan sesuai dengan Pasal 1178 ayat (2) KUH Perdata. Walaupun yang melakukan eksekusi </w:t>
      </w:r>
      <w:proofErr w:type="gramStart"/>
      <w:r w:rsidRPr="000C7512">
        <w:rPr>
          <w:sz w:val="24"/>
          <w:szCs w:val="24"/>
        </w:rPr>
        <w:t>kantor</w:t>
      </w:r>
      <w:proofErr w:type="gramEnd"/>
      <w:r w:rsidRPr="000C7512">
        <w:rPr>
          <w:sz w:val="24"/>
          <w:szCs w:val="24"/>
        </w:rPr>
        <w:t xml:space="preserve"> pelelangan, tetapi kantor pelelangan tetap akan melelang menggunakan putusan dari pengadilan. Karena hal ini dianggap mempunyai kekuatan hukum sehingga dengan mudah dalam mengeksekusinya </w:t>
      </w:r>
      <w:r w:rsidR="00FE21CB">
        <w:rPr>
          <w:rStyle w:val="FootnoteReference"/>
          <w:sz w:val="24"/>
          <w:szCs w:val="24"/>
        </w:rPr>
        <w:fldChar w:fldCharType="begin" w:fldLock="1"/>
      </w:r>
      <w:r w:rsidR="00FE21CB">
        <w:rPr>
          <w:sz w:val="24"/>
          <w:szCs w:val="24"/>
        </w:rPr>
        <w:instrText>ADDIN CSL_CITATION {"citationItems":[{"id":"ITEM-1","itemData":{"ISBN":"978-979-007-303-6","author":[{"dropping-particle":"","family":"Sutedi","given":"Ardian","non-dropping-particle":"","parse-names":false,"suffix":""}],"edition":"2","editor":[{"dropping-particle":"","family":"Tarmizi","given":"","non-dropping-particle":"","parse-names":false,"suffix":""}],"id":"ITEM-1","issued":{"date-parts":[["2012"]]},"number-of-pages":"280","publisher":"Sinar Grafika","publisher-place":"Jakarta","title":"Hukum Hak Tanggungan","type":"book"},"uris":["http://www.mendeley.com/documents/?uuid=ab640f86-6385-48cc-843f-b00719b66903","http://www.mendeley.com/documents/?uuid=437c44c3-67fb-4241-8dab-86dfd4dd234d"]}],"mendeley":{"formattedCitation":"(Sutedi, 2012)","plainTextFormattedCitation":"(Sutedi, 2012)","previouslyFormattedCitation":"Sutedi."},"properties":{"noteIndex":0},"schema":"https://github.com/citation-style-language/schema/raw/master/csl-citation.json"}</w:instrText>
      </w:r>
      <w:r w:rsidR="00FE21CB">
        <w:rPr>
          <w:rStyle w:val="FootnoteReference"/>
          <w:sz w:val="24"/>
          <w:szCs w:val="24"/>
        </w:rPr>
        <w:fldChar w:fldCharType="separate"/>
      </w:r>
      <w:r w:rsidR="00FE21CB" w:rsidRPr="00FE21CB">
        <w:rPr>
          <w:noProof/>
          <w:sz w:val="24"/>
          <w:szCs w:val="24"/>
        </w:rPr>
        <w:t>(Sutedi, 2012)</w:t>
      </w:r>
      <w:r w:rsidR="00FE21CB">
        <w:rPr>
          <w:rStyle w:val="FootnoteReference"/>
          <w:sz w:val="24"/>
          <w:szCs w:val="24"/>
        </w:rPr>
        <w:fldChar w:fldCharType="end"/>
      </w:r>
      <w:r w:rsidR="00F26C68" w:rsidRPr="000C7512">
        <w:rPr>
          <w:sz w:val="24"/>
          <w:szCs w:val="24"/>
        </w:rPr>
        <w:t>.</w:t>
      </w:r>
      <w:r w:rsidRPr="000C7512">
        <w:rPr>
          <w:sz w:val="24"/>
          <w:szCs w:val="24"/>
        </w:rPr>
        <w:t xml:space="preserve"> </w:t>
      </w:r>
    </w:p>
    <w:p w:rsidR="00F81A3A" w:rsidRPr="000C7512" w:rsidRDefault="000F2A4A" w:rsidP="00FE21CB">
      <w:pPr>
        <w:spacing w:line="360" w:lineRule="auto"/>
        <w:ind w:firstLine="426"/>
        <w:jc w:val="both"/>
        <w:rPr>
          <w:sz w:val="24"/>
          <w:szCs w:val="24"/>
        </w:rPr>
      </w:pPr>
      <w:r w:rsidRPr="000C7512">
        <w:rPr>
          <w:sz w:val="24"/>
          <w:szCs w:val="24"/>
        </w:rPr>
        <w:t>Secara normative, e</w:t>
      </w:r>
      <w:r w:rsidR="00F81A3A" w:rsidRPr="000C7512">
        <w:rPr>
          <w:sz w:val="24"/>
          <w:szCs w:val="24"/>
        </w:rPr>
        <w:t xml:space="preserve">ksekusi sita jaminan melalui proses putusan pengadilan seharusnya dilakukan oleh LKS, </w:t>
      </w:r>
      <w:r w:rsidRPr="000C7512">
        <w:rPr>
          <w:sz w:val="24"/>
          <w:szCs w:val="24"/>
        </w:rPr>
        <w:t>karena</w:t>
      </w:r>
      <w:r w:rsidR="00F81A3A" w:rsidRPr="000C7512">
        <w:rPr>
          <w:sz w:val="24"/>
          <w:szCs w:val="24"/>
        </w:rPr>
        <w:t xml:space="preserve"> sita jaminan</w:t>
      </w:r>
      <w:r w:rsidR="00396452" w:rsidRPr="000C7512">
        <w:rPr>
          <w:sz w:val="24"/>
          <w:szCs w:val="24"/>
        </w:rPr>
        <w:t xml:space="preserve"> </w:t>
      </w:r>
      <w:r w:rsidR="008B10B1" w:rsidRPr="000C7512">
        <w:rPr>
          <w:sz w:val="24"/>
          <w:szCs w:val="24"/>
        </w:rPr>
        <w:t>memiliki</w:t>
      </w:r>
      <w:r w:rsidR="00F81A3A" w:rsidRPr="000C7512">
        <w:rPr>
          <w:sz w:val="24"/>
          <w:szCs w:val="24"/>
        </w:rPr>
        <w:t xml:space="preserve"> kekuatan hukum</w:t>
      </w:r>
      <w:r w:rsidR="008B10B1" w:rsidRPr="000C7512">
        <w:rPr>
          <w:sz w:val="24"/>
          <w:szCs w:val="24"/>
        </w:rPr>
        <w:t xml:space="preserve"> yang bersifat eksekutorial</w:t>
      </w:r>
      <w:r w:rsidR="00F81A3A" w:rsidRPr="000C7512">
        <w:rPr>
          <w:sz w:val="24"/>
          <w:szCs w:val="24"/>
        </w:rPr>
        <w:t xml:space="preserve">. </w:t>
      </w:r>
      <w:r w:rsidR="008B10B1" w:rsidRPr="000C7512">
        <w:rPr>
          <w:sz w:val="24"/>
          <w:szCs w:val="24"/>
        </w:rPr>
        <w:t>P</w:t>
      </w:r>
      <w:r w:rsidR="00F81A3A" w:rsidRPr="000C7512">
        <w:rPr>
          <w:sz w:val="24"/>
          <w:szCs w:val="24"/>
        </w:rPr>
        <w:t xml:space="preserve">utusan pengadilan </w:t>
      </w:r>
      <w:r w:rsidR="008B10B1" w:rsidRPr="000C7512">
        <w:rPr>
          <w:sz w:val="24"/>
          <w:szCs w:val="24"/>
        </w:rPr>
        <w:t xml:space="preserve">yang bersifat </w:t>
      </w:r>
      <w:r w:rsidR="008B10B1" w:rsidRPr="000C7512">
        <w:rPr>
          <w:i/>
          <w:iCs/>
          <w:sz w:val="24"/>
          <w:szCs w:val="24"/>
        </w:rPr>
        <w:t>binding</w:t>
      </w:r>
      <w:r w:rsidR="008B10B1" w:rsidRPr="000C7512">
        <w:rPr>
          <w:sz w:val="24"/>
          <w:szCs w:val="24"/>
        </w:rPr>
        <w:t xml:space="preserve"> (mengikat kepada kedua belah pihak) </w:t>
      </w:r>
      <w:r w:rsidR="00F81A3A" w:rsidRPr="000C7512">
        <w:rPr>
          <w:sz w:val="24"/>
          <w:szCs w:val="24"/>
        </w:rPr>
        <w:t xml:space="preserve">menjadikan </w:t>
      </w:r>
      <w:r w:rsidR="00D26827" w:rsidRPr="000C7512">
        <w:rPr>
          <w:sz w:val="24"/>
          <w:szCs w:val="24"/>
        </w:rPr>
        <w:t>LKS</w:t>
      </w:r>
      <w:r w:rsidR="00F81A3A" w:rsidRPr="000C7512">
        <w:rPr>
          <w:sz w:val="24"/>
          <w:szCs w:val="24"/>
        </w:rPr>
        <w:t xml:space="preserve"> dapat menjalankan eksekusi sita jaminan dengan tidak dapat dilawan oleh nasabah ketika menjalankan eksekusi tersebut</w:t>
      </w:r>
      <w:r w:rsidR="00FE21CB">
        <w:rPr>
          <w:rStyle w:val="FootnoteReference"/>
          <w:sz w:val="24"/>
          <w:szCs w:val="24"/>
        </w:rPr>
        <w:fldChar w:fldCharType="begin" w:fldLock="1"/>
      </w:r>
      <w:r w:rsidR="00FE21CB">
        <w:rPr>
          <w:sz w:val="24"/>
          <w:szCs w:val="24"/>
        </w:rPr>
        <w:instrText>ADDIN CSL_CITATION {"citationItems":[{"id":"ITEM-1","itemData":{"ISBN":"979-3421-10-X","author":[{"dropping-particle":"","family":"Harahap","given":"Yahya","non-dropping-particle":"","parse-names":false,"suffix":""}],"edition":"2","id":"ITEM-1","issued":{"date-parts":[["2007"]]},"number-of-pages":"477","publisher":"Sinar Grafika","publisher-place":"Jakarta","title":"Ruang Lingkup Permasalahan Eksekusi Bidang Perdata","type":"book"},"uris":["http://www.mendeley.com/documents/?uuid=5dd3d913-2b44-46e7-a1cc-6f1b7066acc8","http://www.mendeley.com/documents/?uuid=efd2bece-e94e-4c22-8131-0fda25aaff18"]}],"mendeley":{"formattedCitation":"(Harahap, 2007)","plainTextFormattedCitation":"(Harahap, 2007)","previouslyFormattedCitation":"Yahya Harahap, &lt;i&gt;Ruang Lingkup Permasalahan Eksekusi Bidang Perdata&lt;/i&gt;, 2nd edn (Jakarta: Sinar Grafika, 2007)."},"properties":{"noteIndex":0},"schema":"https://github.com/citation-style-language/schema/raw/master/csl-citation.json"}</w:instrText>
      </w:r>
      <w:r w:rsidR="00FE21CB">
        <w:rPr>
          <w:rStyle w:val="FootnoteReference"/>
          <w:sz w:val="24"/>
          <w:szCs w:val="24"/>
        </w:rPr>
        <w:fldChar w:fldCharType="separate"/>
      </w:r>
      <w:r w:rsidR="00FE21CB" w:rsidRPr="00FE21CB">
        <w:rPr>
          <w:bCs/>
          <w:noProof/>
          <w:sz w:val="24"/>
          <w:szCs w:val="24"/>
        </w:rPr>
        <w:t>(Harahap, 2007)</w:t>
      </w:r>
      <w:r w:rsidR="00FE21CB">
        <w:rPr>
          <w:rStyle w:val="FootnoteReference"/>
          <w:sz w:val="24"/>
          <w:szCs w:val="24"/>
        </w:rPr>
        <w:fldChar w:fldCharType="end"/>
      </w:r>
      <w:r w:rsidR="00F81A3A" w:rsidRPr="000C7512">
        <w:rPr>
          <w:sz w:val="24"/>
          <w:szCs w:val="24"/>
        </w:rPr>
        <w:t xml:space="preserve">. Dan sita jaminan </w:t>
      </w:r>
      <w:r w:rsidRPr="000C7512">
        <w:rPr>
          <w:sz w:val="24"/>
          <w:szCs w:val="24"/>
        </w:rPr>
        <w:t xml:space="preserve">yang memiliki kekuatan eksekutorial </w:t>
      </w:r>
      <w:r w:rsidR="00F81A3A" w:rsidRPr="000C7512">
        <w:rPr>
          <w:sz w:val="24"/>
          <w:szCs w:val="24"/>
        </w:rPr>
        <w:t xml:space="preserve">sesungguhnya dapat </w:t>
      </w:r>
      <w:r w:rsidR="008B10B1" w:rsidRPr="000C7512">
        <w:rPr>
          <w:sz w:val="24"/>
          <w:szCs w:val="24"/>
        </w:rPr>
        <w:t xml:space="preserve">memberikan jaminan dan </w:t>
      </w:r>
      <w:r w:rsidR="00F81A3A" w:rsidRPr="000C7512">
        <w:rPr>
          <w:sz w:val="24"/>
          <w:szCs w:val="24"/>
        </w:rPr>
        <w:t>mengecilkan resiko kerugian</w:t>
      </w:r>
      <w:r w:rsidRPr="000C7512">
        <w:rPr>
          <w:sz w:val="24"/>
          <w:szCs w:val="24"/>
        </w:rPr>
        <w:t xml:space="preserve"> LKS</w:t>
      </w:r>
      <w:r w:rsidR="00F81A3A" w:rsidRPr="000C7512">
        <w:rPr>
          <w:sz w:val="24"/>
          <w:szCs w:val="24"/>
        </w:rPr>
        <w:t xml:space="preserve"> saat terjadi wanprestasi</w:t>
      </w:r>
      <w:r w:rsidRPr="000C7512">
        <w:rPr>
          <w:sz w:val="24"/>
          <w:szCs w:val="24"/>
        </w:rPr>
        <w:t>.</w:t>
      </w:r>
      <w:r w:rsidR="00F81A3A" w:rsidRPr="000C7512">
        <w:rPr>
          <w:sz w:val="24"/>
          <w:szCs w:val="24"/>
        </w:rPr>
        <w:t xml:space="preserve"> </w:t>
      </w:r>
      <w:r w:rsidRPr="000C7512">
        <w:rPr>
          <w:sz w:val="24"/>
          <w:szCs w:val="24"/>
        </w:rPr>
        <w:t xml:space="preserve"> Hal ini </w:t>
      </w:r>
      <w:r w:rsidR="00F81A3A" w:rsidRPr="000C7512">
        <w:rPr>
          <w:sz w:val="24"/>
          <w:szCs w:val="24"/>
        </w:rPr>
        <w:t>sebagaimana diatur dalam Undang-Undang No 21 Tahun 2008 tentang Perbankan Syariah</w:t>
      </w:r>
      <w:r w:rsidR="00FE21CB">
        <w:rPr>
          <w:rStyle w:val="FootnoteReference"/>
          <w:sz w:val="24"/>
          <w:szCs w:val="24"/>
        </w:rPr>
        <w:fldChar w:fldCharType="begin" w:fldLock="1"/>
      </w:r>
      <w:r w:rsidR="00FE21CB">
        <w:rPr>
          <w:sz w:val="24"/>
          <w:szCs w:val="24"/>
        </w:rPr>
        <w:instrText>ADDIN CSL_CITATION {"citationItems":[{"id":"ITEM-1","itemData":{"author":[{"dropping-particle":"","family":"Menteri Sekretaris Negara Republik Indonesia","given":"","non-dropping-particle":"","parse-names":false,"suffix":""}],"id":"ITEM-1","issued":{"date-parts":[["2008"]]},"number":"UU Nomor 21 Tahun 2008","publisher-place":"Indonesia","title":"Undang-Undang Republik Indonesia Nomor 21 Tahun 2008 Tentang Perbankan Syariah","type":"legislation"},"uris":["http://www.mendeley.com/documents/?uuid=65cd0c42-b2fb-425d-84ed-69080b141f23"]}],"mendeley":{"formattedCitation":"(Menteri Sekretaris Negara Republik Indonesia, 2008)","plainTextFormattedCitation":"(Menteri Sekretaris Negara Republik Indonesia, 2008)","previouslyFormattedCitation":"Menteri Sekretaris Negara Republik Indonesia, &lt;i&gt;Undang-Undang Republik Indonesia Nomor 21 Tahun 2008 Tentang Perbankan Syariah&lt;/i&gt; (Indonesia, 2008) &lt;https://www.ojk.go.id/waspada-investasi/id/regulasi/Pages/Undang-Undang-Nomor-21-Tahun-2008-Tentang-Perbankan-Syariah.aspx&gt;."},"properties":{"noteIndex":0},"schema":"https://github.com/citation-style-language/schema/raw/master/csl-citation.json"}</w:instrText>
      </w:r>
      <w:r w:rsidR="00FE21CB">
        <w:rPr>
          <w:rStyle w:val="FootnoteReference"/>
          <w:sz w:val="24"/>
          <w:szCs w:val="24"/>
        </w:rPr>
        <w:fldChar w:fldCharType="separate"/>
      </w:r>
      <w:r w:rsidR="00FE21CB" w:rsidRPr="00FE21CB">
        <w:rPr>
          <w:noProof/>
          <w:sz w:val="24"/>
          <w:szCs w:val="24"/>
        </w:rPr>
        <w:t>(Menteri Sekretaris Negara Republik Indonesia, 2008)</w:t>
      </w:r>
      <w:r w:rsidR="00FE21CB">
        <w:rPr>
          <w:rStyle w:val="FootnoteReference"/>
          <w:sz w:val="24"/>
          <w:szCs w:val="24"/>
        </w:rPr>
        <w:fldChar w:fldCharType="end"/>
      </w:r>
      <w:r w:rsidR="00F81A3A" w:rsidRPr="000C7512">
        <w:rPr>
          <w:sz w:val="24"/>
          <w:szCs w:val="24"/>
        </w:rPr>
        <w:t xml:space="preserve"> dan Fatwa </w:t>
      </w:r>
      <w:r w:rsidR="00F81A3A" w:rsidRPr="000C7512">
        <w:rPr>
          <w:sz w:val="24"/>
          <w:szCs w:val="24"/>
        </w:rPr>
        <w:lastRenderedPageBreak/>
        <w:t>DSN MUI No 4 Tahun 2000 tentang Akad Murabahah</w:t>
      </w:r>
      <w:r w:rsidR="00FE21CB">
        <w:rPr>
          <w:rStyle w:val="FootnoteReference"/>
          <w:sz w:val="24"/>
          <w:szCs w:val="24"/>
        </w:rPr>
        <w:fldChar w:fldCharType="begin" w:fldLock="1"/>
      </w:r>
      <w:r w:rsidR="00FE21CB">
        <w:rPr>
          <w:sz w:val="24"/>
          <w:szCs w:val="24"/>
        </w:rPr>
        <w:instrText>ADDIN CSL_CITATION {"citationItems":[{"id":"ITEM-1","itemData":{"URL":"https://dsnmui.or.id/kategori/fatwa/page/13/","accessed":{"date-parts":[["2020","5","14"]]},"author":[{"dropping-particle":"","family":"Dewan Syariah Nasional – Majelis Ulama Indonesia (DSN MUI)","given":"","non-dropping-particle":"","parse-names":false,"suffix":""}],"container-title":"FATWA","id":"ITEM-1","issued":{"date-parts":[["2000"]]},"page":"13","title":"Fatwa Dewan Syariah Nasional Nomor 04/DSN-MUI/IV/2000 tentang Murabahah","type":"webpage"},"uris":["http://www.mendeley.com/documents/?uuid=63e085cd-4e2d-48f0-9432-2965bc11949b"]}],"mendeley":{"formattedCitation":"(Dewan Syariah Nasional – Majelis Ulama Indonesia (DSN MUI), 2000)","plainTextFormattedCitation":"(Dewan Syariah Nasional – Majelis Ulama Indonesia (DSN MUI), 2000)","previouslyFormattedCitation":"Dewan Syariah Nasional – Majelis Ulama Indonesia (DSN MUI), ‘Fatwa Dewan Syariah Nasional Nomor 04/DSN-MUI/IV/2000 Tentang Murabahah’, &lt;i&gt;FATWA&lt;/i&gt;, 2000, p. 13 &lt;https://dsnmui.or.id/kategori/fatwa/page/13/&gt; [accessed 14 May 2020]."},"properties":{"noteIndex":0},"schema":"https://github.com/citation-style-language/schema/raw/master/csl-citation.json"}</w:instrText>
      </w:r>
      <w:r w:rsidR="00FE21CB">
        <w:rPr>
          <w:rStyle w:val="FootnoteReference"/>
          <w:sz w:val="24"/>
          <w:szCs w:val="24"/>
        </w:rPr>
        <w:fldChar w:fldCharType="separate"/>
      </w:r>
      <w:r w:rsidR="00FE21CB" w:rsidRPr="00FE21CB">
        <w:rPr>
          <w:bCs/>
          <w:noProof/>
          <w:sz w:val="24"/>
          <w:szCs w:val="24"/>
        </w:rPr>
        <w:t>(Dewan Syariah Nasional – Majelis Ulama Indonesia (DSN MUI), 2000)</w:t>
      </w:r>
      <w:r w:rsidR="00FE21CB">
        <w:rPr>
          <w:rStyle w:val="FootnoteReference"/>
          <w:sz w:val="24"/>
          <w:szCs w:val="24"/>
        </w:rPr>
        <w:fldChar w:fldCharType="end"/>
      </w:r>
      <w:r w:rsidR="00F81A3A" w:rsidRPr="000C7512">
        <w:rPr>
          <w:sz w:val="24"/>
          <w:szCs w:val="24"/>
        </w:rPr>
        <w:t xml:space="preserve">. </w:t>
      </w:r>
    </w:p>
    <w:p w:rsidR="00F81A3A" w:rsidRPr="000C7512" w:rsidRDefault="00F81A3A" w:rsidP="000C7512">
      <w:pPr>
        <w:spacing w:line="360" w:lineRule="auto"/>
        <w:ind w:firstLine="426"/>
        <w:jc w:val="both"/>
        <w:rPr>
          <w:sz w:val="24"/>
          <w:szCs w:val="24"/>
          <w:lang w:val="id-ID"/>
        </w:rPr>
      </w:pPr>
      <w:r w:rsidRPr="000C7512">
        <w:rPr>
          <w:sz w:val="24"/>
          <w:szCs w:val="24"/>
        </w:rPr>
        <w:t xml:space="preserve">Dan salah satu kasus yang menarik tentang eksekusi sita jaminan di pengadilan Agama Magelang, yaitu sengketa ekonomi syariah Nomor 185/Pdt.G/2016/Pa.Mgl. </w:t>
      </w:r>
      <w:r w:rsidR="00624BD9" w:rsidRPr="000C7512">
        <w:rPr>
          <w:sz w:val="24"/>
          <w:szCs w:val="24"/>
          <w:lang w:val="id-ID"/>
        </w:rPr>
        <w:t>P</w:t>
      </w:r>
      <w:r w:rsidRPr="000C7512">
        <w:rPr>
          <w:sz w:val="24"/>
          <w:szCs w:val="24"/>
        </w:rPr>
        <w:t xml:space="preserve">erkara sita jaminan ini dicabut oleh </w:t>
      </w:r>
      <w:r w:rsidR="00D26827" w:rsidRPr="000C7512">
        <w:rPr>
          <w:sz w:val="24"/>
          <w:szCs w:val="24"/>
        </w:rPr>
        <w:t>p</w:t>
      </w:r>
      <w:r w:rsidRPr="000C7512">
        <w:rPr>
          <w:sz w:val="24"/>
          <w:szCs w:val="24"/>
        </w:rPr>
        <w:t xml:space="preserve">enggugatnya sebelum diputus oleh majelis hakim. Kasus gugatan ini mengenai eksekusi sita jaminan yang sebelumnya telah disetujui antara </w:t>
      </w:r>
      <w:r w:rsidR="00D26827" w:rsidRPr="000C7512">
        <w:rPr>
          <w:sz w:val="24"/>
          <w:szCs w:val="24"/>
        </w:rPr>
        <w:t>LKS</w:t>
      </w:r>
      <w:r w:rsidRPr="000C7512">
        <w:rPr>
          <w:sz w:val="24"/>
          <w:szCs w:val="24"/>
        </w:rPr>
        <w:t xml:space="preserve"> dengan nasabahnya apabila terjadi suatu wanprestasi. </w:t>
      </w:r>
      <w:r w:rsidR="00624BD9" w:rsidRPr="000C7512">
        <w:rPr>
          <w:sz w:val="24"/>
          <w:szCs w:val="24"/>
          <w:lang w:val="id-ID"/>
        </w:rPr>
        <w:t xml:space="preserve">Tetapi, kasus perkara ini yang menjadi penggugatnya berasal dari Lembaga Keuangan Syariah yang tidak bertempat di Kota Magelang. Pengadilan Agama Kota Magelang </w:t>
      </w:r>
      <w:r w:rsidR="00BA154E" w:rsidRPr="000C7512">
        <w:rPr>
          <w:sz w:val="24"/>
          <w:szCs w:val="24"/>
        </w:rPr>
        <w:t xml:space="preserve">hanya </w:t>
      </w:r>
      <w:r w:rsidR="00624BD9" w:rsidRPr="000C7512">
        <w:rPr>
          <w:sz w:val="24"/>
          <w:szCs w:val="24"/>
          <w:lang w:val="id-ID"/>
        </w:rPr>
        <w:t>menerima gugatan karena objek jaminan berada di wilayah Kota Magelang.</w:t>
      </w:r>
    </w:p>
    <w:p w:rsidR="00F81A3A" w:rsidRPr="000C7512" w:rsidRDefault="00F81A3A" w:rsidP="000C7512">
      <w:pPr>
        <w:spacing w:line="360" w:lineRule="auto"/>
        <w:ind w:firstLine="426"/>
        <w:jc w:val="both"/>
        <w:rPr>
          <w:sz w:val="24"/>
          <w:szCs w:val="24"/>
          <w:lang w:val="id-ID"/>
        </w:rPr>
      </w:pPr>
      <w:r w:rsidRPr="000C7512">
        <w:rPr>
          <w:sz w:val="24"/>
          <w:szCs w:val="24"/>
          <w:lang w:val="id-ID"/>
        </w:rPr>
        <w:t xml:space="preserve">Penelitian ini </w:t>
      </w:r>
      <w:r w:rsidR="00D26827" w:rsidRPr="000C7512">
        <w:rPr>
          <w:sz w:val="24"/>
          <w:szCs w:val="24"/>
          <w:lang w:val="id-ID"/>
        </w:rPr>
        <w:t>meng</w:t>
      </w:r>
      <w:r w:rsidRPr="000C7512">
        <w:rPr>
          <w:sz w:val="24"/>
          <w:szCs w:val="24"/>
          <w:lang w:val="id-ID"/>
        </w:rPr>
        <w:t>analisis mengenai</w:t>
      </w:r>
      <w:r w:rsidR="00624BD9" w:rsidRPr="000C7512">
        <w:rPr>
          <w:sz w:val="24"/>
          <w:szCs w:val="24"/>
          <w:lang w:val="id-ID"/>
        </w:rPr>
        <w:t xml:space="preserve"> cara atau prosedur eksekusi sita jaminan yang digunakan oleh </w:t>
      </w:r>
      <w:r w:rsidR="00D26827" w:rsidRPr="000C7512">
        <w:rPr>
          <w:sz w:val="24"/>
          <w:szCs w:val="24"/>
          <w:lang w:val="id-ID"/>
        </w:rPr>
        <w:t>LKS</w:t>
      </w:r>
      <w:r w:rsidR="00624BD9" w:rsidRPr="000C7512">
        <w:rPr>
          <w:sz w:val="24"/>
          <w:szCs w:val="24"/>
          <w:lang w:val="id-ID"/>
        </w:rPr>
        <w:t xml:space="preserve"> di Kota Magelang tanpa melalui </w:t>
      </w:r>
      <w:r w:rsidR="00A914FE" w:rsidRPr="000C7512">
        <w:rPr>
          <w:sz w:val="24"/>
          <w:szCs w:val="24"/>
          <w:lang w:val="id-ID"/>
        </w:rPr>
        <w:t xml:space="preserve">putusan </w:t>
      </w:r>
      <w:r w:rsidR="00624BD9" w:rsidRPr="000C7512">
        <w:rPr>
          <w:sz w:val="24"/>
          <w:szCs w:val="24"/>
          <w:lang w:val="id-ID"/>
        </w:rPr>
        <w:t>Pengadilan Agama</w:t>
      </w:r>
      <w:r w:rsidR="00D26827" w:rsidRPr="000C7512">
        <w:rPr>
          <w:sz w:val="24"/>
          <w:szCs w:val="24"/>
          <w:lang w:val="id-ID"/>
        </w:rPr>
        <w:t>.</w:t>
      </w:r>
      <w:r w:rsidR="00D26827" w:rsidRPr="000C7512">
        <w:rPr>
          <w:sz w:val="24"/>
          <w:szCs w:val="24"/>
        </w:rPr>
        <w:t xml:space="preserve"> Penelitian ini juga mengungkap tentang </w:t>
      </w:r>
      <w:r w:rsidR="00624BD9" w:rsidRPr="000C7512">
        <w:rPr>
          <w:sz w:val="24"/>
          <w:szCs w:val="24"/>
          <w:lang w:val="id-ID"/>
        </w:rPr>
        <w:t>faktor</w:t>
      </w:r>
      <w:r w:rsidR="00D26827" w:rsidRPr="000C7512">
        <w:rPr>
          <w:sz w:val="24"/>
          <w:szCs w:val="24"/>
        </w:rPr>
        <w:t>-faktor yang melatarbelakangi LKS</w:t>
      </w:r>
      <w:r w:rsidR="00624BD9" w:rsidRPr="000C7512">
        <w:rPr>
          <w:sz w:val="24"/>
          <w:szCs w:val="24"/>
          <w:lang w:val="id-ID"/>
        </w:rPr>
        <w:t xml:space="preserve"> di Kota Magelang dalam memilih prosedur </w:t>
      </w:r>
      <w:r w:rsidR="00D26827" w:rsidRPr="000C7512">
        <w:rPr>
          <w:sz w:val="24"/>
          <w:szCs w:val="24"/>
        </w:rPr>
        <w:t xml:space="preserve">non litigasi </w:t>
      </w:r>
      <w:r w:rsidR="00624BD9" w:rsidRPr="000C7512">
        <w:rPr>
          <w:sz w:val="24"/>
          <w:szCs w:val="24"/>
          <w:lang w:val="id-ID"/>
        </w:rPr>
        <w:t>dalam melakukukan eksekusi sita jaminan.</w:t>
      </w:r>
      <w:r w:rsidRPr="000C7512">
        <w:rPr>
          <w:sz w:val="24"/>
          <w:szCs w:val="24"/>
          <w:lang w:val="id-ID"/>
        </w:rPr>
        <w:t xml:space="preserve"> </w:t>
      </w:r>
    </w:p>
    <w:p w:rsidR="00F81A3A" w:rsidRPr="000C7512" w:rsidRDefault="00F81A3A" w:rsidP="00FE21CB">
      <w:pPr>
        <w:spacing w:line="360" w:lineRule="auto"/>
        <w:ind w:firstLine="426"/>
        <w:jc w:val="both"/>
        <w:rPr>
          <w:sz w:val="24"/>
          <w:szCs w:val="24"/>
        </w:rPr>
      </w:pPr>
      <w:r w:rsidRPr="000C7512">
        <w:rPr>
          <w:sz w:val="24"/>
          <w:szCs w:val="24"/>
        </w:rPr>
        <w:t>Secara khusus tujuan dar</w:t>
      </w:r>
      <w:r w:rsidR="001809A3" w:rsidRPr="000C7512">
        <w:rPr>
          <w:sz w:val="24"/>
          <w:szCs w:val="24"/>
        </w:rPr>
        <w:t>i penelitian ini adalah untuk mengungkapkan tentang alternative penyelesaian sengketa dalam eksekusi sita jaminan (Alternative Dispute Resolution/ADR), yang lebih sederhana dibandingkan melalui proses litigasi</w:t>
      </w:r>
      <w:r w:rsidR="00FE21CB">
        <w:rPr>
          <w:rStyle w:val="FootnoteReference"/>
          <w:sz w:val="24"/>
          <w:szCs w:val="24"/>
        </w:rPr>
        <w:fldChar w:fldCharType="begin" w:fldLock="1"/>
      </w:r>
      <w:r w:rsidR="00FE21CB">
        <w:rPr>
          <w:sz w:val="24"/>
          <w:szCs w:val="24"/>
        </w:rPr>
        <w:instrText>ADDIN CSL_CITATION {"citationItems":[{"id":"ITEM-1","itemData":{"abstract":"Currently, Islamic economic activities are growing rapidly in Indonesia. These developments must be followed by many Islamic Economic disputes.The settlement of this dispute currently is under the authority of the Religious Courts and therefor the function of the court needs to be strengthened. The problems discussed in this study include: how the Islamic Economic dispute resolution methods in Indonesia, how to solve the Islamic economic dispute in the Religious Courts and how the strategy of strengthening the Religious Courts functions.This is a descriptive legal normative research with regulatory and analytical approach. Based on the results of the research, it can be concluded that the Religious Courts has authority over the Islamic economic dispute resolution. The dispute resolution process is supported by regulations that will create a simple, quick and low cost process. Regulatory support is also needed to improve the quality of the Religious Courts. Therefore, the author suggest to socialize the function and change the stigma about the Religious Courts.","author":[{"dropping-particle":"","family":"Pramudya","given":"Kelik","non-dropping-particle":"","parse-names":false,"suffix":""}],"container-title":"RechtsVinding","id":"ITEM-1","issue":"1","issued":{"date-parts":[["2018"]]},"page":"35–47","title":"Strategi Pengembangan Ekonomi Syariah Melalui Penguatan Fungsi Pengadilan Agama dalam Penyelesaian Sengketa","type":"article-journal","volume":"7"},"uris":["http://www.mendeley.com/documents/?uuid=4da2e963-64e5-4765-8953-df437424420d"]}],"mendeley":{"formattedCitation":"(Pramudya, 2018)","plainTextFormattedCitation":"(Pramudya, 2018)","previouslyFormattedCitation":"Kelik Pramudya, ‘Strategi Pengembangan Ekonomi Syariah Melalui Penguatan Fungsi Pengadilan Agama Dalam Penyelesaian Sengketa’, &lt;i&gt;RechtsVinding&lt;/i&gt;, 7.1 (2018), 35–47 &lt;https://rechtsvinding.bphn.go.id/artikel/Artikel 3.PDF&gt;."},"properties":{"noteIndex":0},"schema":"https://github.com/citation-style-language/schema/raw/master/csl-citation.json"}</w:instrText>
      </w:r>
      <w:r w:rsidR="00FE21CB">
        <w:rPr>
          <w:rStyle w:val="FootnoteReference"/>
          <w:sz w:val="24"/>
          <w:szCs w:val="24"/>
        </w:rPr>
        <w:fldChar w:fldCharType="separate"/>
      </w:r>
      <w:r w:rsidR="00FE21CB" w:rsidRPr="00FE21CB">
        <w:rPr>
          <w:bCs/>
          <w:noProof/>
          <w:sz w:val="24"/>
          <w:szCs w:val="24"/>
        </w:rPr>
        <w:t>(Pramudya, 2018)</w:t>
      </w:r>
      <w:r w:rsidR="00FE21CB">
        <w:rPr>
          <w:rStyle w:val="FootnoteReference"/>
          <w:sz w:val="24"/>
          <w:szCs w:val="24"/>
        </w:rPr>
        <w:fldChar w:fldCharType="end"/>
      </w:r>
      <w:r w:rsidR="00FE21CB">
        <w:rPr>
          <w:rStyle w:val="FootnoteReference"/>
          <w:sz w:val="24"/>
          <w:szCs w:val="24"/>
        </w:rPr>
        <w:fldChar w:fldCharType="begin" w:fldLock="1"/>
      </w:r>
      <w:r w:rsidR="00FE21CB">
        <w:rPr>
          <w:sz w:val="24"/>
          <w:szCs w:val="24"/>
        </w:rPr>
        <w:instrText>ADDIN CSL_CITATION {"citationItems":[{"id":"ITEM-1","itemData":{"author":[{"dropping-particle":"","family":"Noviyanti","given":"Ririn","non-dropping-particle":"","parse-names":false,"suffix":""}],"container-title":"Mahakim: Journal of Islamic Family Law","id":"ITEM-1","issue":"2","issued":{"date-parts":[["2017"]]},"page":"1-17","title":"Penyelesaian Sengketa Non-Litigasi Dalam Sejarah Peradaban Islam","type":"article-journal","volume":"1"},"uris":["http://www.mendeley.com/documents/?uuid=e00086d2-352a-4af4-8aca-89a299d8170c"]}],"mendeley":{"formattedCitation":"(Noviyanti, 2017)","plainTextFormattedCitation":"(Noviyanti, 2017)","previouslyFormattedCitation":"Ririn Noviyanti, ‘Penyelesaian Sengketa Non-Litigasi Dalam Sejarah Peradaban Islam’, &lt;i&gt;Mahakim: Journal of Islamic Family Law&lt;/i&gt;, 1.2 (2017), 1–17 &lt;https://jurnal.iainkediri.ac.id/index.php/mahakim/article/view/454&gt;."},"properties":{"noteIndex":0},"schema":"https://github.com/citation-style-language/schema/raw/master/csl-citation.json"}</w:instrText>
      </w:r>
      <w:r w:rsidR="00FE21CB">
        <w:rPr>
          <w:rStyle w:val="FootnoteReference"/>
          <w:sz w:val="24"/>
          <w:szCs w:val="24"/>
        </w:rPr>
        <w:fldChar w:fldCharType="separate"/>
      </w:r>
      <w:r w:rsidR="00FE21CB" w:rsidRPr="00FE21CB">
        <w:rPr>
          <w:bCs/>
          <w:noProof/>
          <w:sz w:val="24"/>
          <w:szCs w:val="24"/>
        </w:rPr>
        <w:t>(Noviyanti, 2017)</w:t>
      </w:r>
      <w:r w:rsidR="00FE21CB">
        <w:rPr>
          <w:rStyle w:val="FootnoteReference"/>
          <w:sz w:val="24"/>
          <w:szCs w:val="24"/>
        </w:rPr>
        <w:fldChar w:fldCharType="end"/>
      </w:r>
      <w:r w:rsidR="001809A3" w:rsidRPr="000C7512">
        <w:rPr>
          <w:sz w:val="24"/>
          <w:szCs w:val="24"/>
        </w:rPr>
        <w:t xml:space="preserve">. Penelitian tentang alternative penyelesaian perkara dalam konteks ekonomi syariah masih sangat sedikit diteliti oleh para ahli. </w:t>
      </w:r>
      <w:r w:rsidR="00EE1154" w:rsidRPr="000C7512">
        <w:rPr>
          <w:sz w:val="24"/>
          <w:szCs w:val="24"/>
        </w:rPr>
        <w:t>Oleh karena itu, informasi</w:t>
      </w:r>
      <w:r w:rsidR="001809A3" w:rsidRPr="000C7512">
        <w:rPr>
          <w:sz w:val="24"/>
          <w:szCs w:val="24"/>
        </w:rPr>
        <w:t xml:space="preserve"> tentang </w:t>
      </w:r>
      <w:r w:rsidR="00EE1154" w:rsidRPr="000C7512">
        <w:rPr>
          <w:sz w:val="24"/>
          <w:szCs w:val="24"/>
        </w:rPr>
        <w:t>alternative penyelasaian perkara</w:t>
      </w:r>
      <w:r w:rsidR="001809A3" w:rsidRPr="000C7512">
        <w:rPr>
          <w:sz w:val="24"/>
          <w:szCs w:val="24"/>
        </w:rPr>
        <w:t xml:space="preserve"> sangat terbatas</w:t>
      </w:r>
      <w:r w:rsidR="00EE1154" w:rsidRPr="000C7512">
        <w:rPr>
          <w:sz w:val="24"/>
          <w:szCs w:val="24"/>
        </w:rPr>
        <w:t>, dan perlu untuk terus dilakukan pengkajian dan penelitian</w:t>
      </w:r>
      <w:r w:rsidR="001809A3" w:rsidRPr="000C7512">
        <w:rPr>
          <w:sz w:val="24"/>
          <w:szCs w:val="24"/>
        </w:rPr>
        <w:t>. Lebih-lebih</w:t>
      </w:r>
      <w:r w:rsidR="00EE1154" w:rsidRPr="000C7512">
        <w:rPr>
          <w:sz w:val="24"/>
          <w:szCs w:val="24"/>
        </w:rPr>
        <w:t xml:space="preserve">, </w:t>
      </w:r>
      <w:r w:rsidR="00E7501F" w:rsidRPr="000C7512">
        <w:rPr>
          <w:sz w:val="24"/>
          <w:szCs w:val="24"/>
        </w:rPr>
        <w:t xml:space="preserve">untuk konteks </w:t>
      </w:r>
      <w:r w:rsidR="001809A3" w:rsidRPr="000C7512">
        <w:rPr>
          <w:sz w:val="24"/>
          <w:szCs w:val="24"/>
        </w:rPr>
        <w:t>ekonomi syariah merupakan fenomena yang relative baru, yang membutuhkan model-model penyelesaian dengan pilihan yang beragam, yang mendatangkan maslahat dan kebaikan masyarakat.</w:t>
      </w:r>
    </w:p>
    <w:p w:rsidR="00F81A3A" w:rsidRPr="000C7512" w:rsidRDefault="00F81A3A" w:rsidP="000C7512">
      <w:pPr>
        <w:spacing w:line="360" w:lineRule="auto"/>
        <w:rPr>
          <w:sz w:val="24"/>
          <w:szCs w:val="24"/>
          <w:lang w:val="id-ID"/>
        </w:rPr>
      </w:pPr>
    </w:p>
    <w:p w:rsidR="00F81A3A" w:rsidRPr="000C7512" w:rsidRDefault="00972481" w:rsidP="00B274B2">
      <w:pPr>
        <w:pStyle w:val="Heading2"/>
        <w:spacing w:line="360" w:lineRule="auto"/>
        <w:rPr>
          <w:lang w:val="id-ID"/>
        </w:rPr>
      </w:pPr>
      <w:r w:rsidRPr="000C7512">
        <w:rPr>
          <w:lang w:val="id-ID"/>
        </w:rPr>
        <w:t xml:space="preserve">PENDEKATAN DAN </w:t>
      </w:r>
      <w:r w:rsidR="004B1013" w:rsidRPr="000C7512">
        <w:rPr>
          <w:lang w:val="id-ID"/>
        </w:rPr>
        <w:t>METODE</w:t>
      </w:r>
    </w:p>
    <w:p w:rsidR="004B1013" w:rsidRPr="000C7512" w:rsidRDefault="004C05B5" w:rsidP="000C7512">
      <w:pPr>
        <w:spacing w:line="360" w:lineRule="auto"/>
        <w:ind w:firstLine="426"/>
        <w:jc w:val="both"/>
        <w:rPr>
          <w:sz w:val="24"/>
          <w:szCs w:val="24"/>
          <w:lang w:val="id-ID"/>
        </w:rPr>
      </w:pPr>
      <w:r w:rsidRPr="000C7512">
        <w:rPr>
          <w:sz w:val="24"/>
          <w:szCs w:val="24"/>
        </w:rPr>
        <w:t>P</w:t>
      </w:r>
      <w:r w:rsidR="00972481" w:rsidRPr="000C7512">
        <w:rPr>
          <w:sz w:val="24"/>
          <w:szCs w:val="24"/>
        </w:rPr>
        <w:t xml:space="preserve">enelitian ini </w:t>
      </w:r>
      <w:r w:rsidRPr="000C7512">
        <w:rPr>
          <w:sz w:val="24"/>
          <w:szCs w:val="24"/>
        </w:rPr>
        <w:t>menggunakan</w:t>
      </w:r>
      <w:r w:rsidR="004B1013" w:rsidRPr="000C7512">
        <w:rPr>
          <w:sz w:val="24"/>
          <w:szCs w:val="24"/>
        </w:rPr>
        <w:t xml:space="preserve"> pendekatan yuridis empiris, yaitu penelitian dengan </w:t>
      </w:r>
      <w:proofErr w:type="gramStart"/>
      <w:r w:rsidR="004B1013" w:rsidRPr="000C7512">
        <w:rPr>
          <w:sz w:val="24"/>
          <w:szCs w:val="24"/>
        </w:rPr>
        <w:t>cara</w:t>
      </w:r>
      <w:proofErr w:type="gramEnd"/>
      <w:r w:rsidR="004B1013" w:rsidRPr="000C7512">
        <w:rPr>
          <w:sz w:val="24"/>
          <w:szCs w:val="24"/>
        </w:rPr>
        <w:t xml:space="preserve"> mendekati objek untuk mengetahui b</w:t>
      </w:r>
      <w:r w:rsidR="00972481" w:rsidRPr="000C7512">
        <w:rPr>
          <w:sz w:val="24"/>
          <w:szCs w:val="24"/>
        </w:rPr>
        <w:t xml:space="preserve">ekerjanya hukum di masyarakat. </w:t>
      </w:r>
      <w:r w:rsidR="00972481" w:rsidRPr="000C7512">
        <w:rPr>
          <w:sz w:val="24"/>
          <w:szCs w:val="24"/>
          <w:lang w:val="id-ID"/>
        </w:rPr>
        <w:t>Metode p</w:t>
      </w:r>
      <w:r w:rsidR="004B1013" w:rsidRPr="000C7512">
        <w:rPr>
          <w:sz w:val="24"/>
          <w:szCs w:val="24"/>
        </w:rPr>
        <w:t>enelitian yang dilakukan</w:t>
      </w:r>
      <w:r w:rsidR="00972481" w:rsidRPr="000C7512">
        <w:rPr>
          <w:sz w:val="24"/>
          <w:szCs w:val="24"/>
          <w:lang w:val="id-ID"/>
        </w:rPr>
        <w:t xml:space="preserve"> adalah</w:t>
      </w:r>
      <w:r w:rsidR="00BA154E" w:rsidRPr="000C7512">
        <w:rPr>
          <w:sz w:val="24"/>
          <w:szCs w:val="24"/>
        </w:rPr>
        <w:t xml:space="preserve"> </w:t>
      </w:r>
      <w:r w:rsidR="00972481" w:rsidRPr="000C7512">
        <w:rPr>
          <w:sz w:val="24"/>
          <w:szCs w:val="24"/>
          <w:lang w:val="id-ID"/>
        </w:rPr>
        <w:t>deskriptif analisis</w:t>
      </w:r>
      <w:r w:rsidR="00BA154E" w:rsidRPr="000C7512">
        <w:rPr>
          <w:sz w:val="24"/>
          <w:szCs w:val="24"/>
        </w:rPr>
        <w:t xml:space="preserve"> </w:t>
      </w:r>
      <w:r w:rsidR="0055239F" w:rsidRPr="000C7512">
        <w:rPr>
          <w:sz w:val="24"/>
          <w:szCs w:val="24"/>
          <w:lang w:val="id-ID"/>
        </w:rPr>
        <w:t>kualitatif</w:t>
      </w:r>
      <w:r w:rsidR="002A797D" w:rsidRPr="000C7512">
        <w:rPr>
          <w:sz w:val="24"/>
          <w:szCs w:val="24"/>
        </w:rPr>
        <w:t>. Untuk</w:t>
      </w:r>
      <w:r w:rsidR="00155609" w:rsidRPr="000C7512">
        <w:rPr>
          <w:sz w:val="24"/>
          <w:szCs w:val="24"/>
        </w:rPr>
        <w:t xml:space="preserve"> pengumpulan data </w:t>
      </w:r>
      <w:r w:rsidR="002A797D" w:rsidRPr="000C7512">
        <w:rPr>
          <w:sz w:val="24"/>
          <w:szCs w:val="24"/>
        </w:rPr>
        <w:t>pe</w:t>
      </w:r>
      <w:r w:rsidR="006064CF" w:rsidRPr="000C7512">
        <w:rPr>
          <w:sz w:val="24"/>
          <w:szCs w:val="24"/>
        </w:rPr>
        <w:t>neliti</w:t>
      </w:r>
      <w:r w:rsidR="002A797D" w:rsidRPr="000C7512">
        <w:rPr>
          <w:sz w:val="24"/>
          <w:szCs w:val="24"/>
        </w:rPr>
        <w:t xml:space="preserve"> menggunakan metode</w:t>
      </w:r>
      <w:r w:rsidR="004B1013" w:rsidRPr="000C7512">
        <w:rPr>
          <w:sz w:val="24"/>
          <w:szCs w:val="24"/>
        </w:rPr>
        <w:t xml:space="preserve"> </w:t>
      </w:r>
      <w:r w:rsidR="008A520C" w:rsidRPr="000C7512">
        <w:rPr>
          <w:i/>
          <w:iCs/>
          <w:sz w:val="24"/>
          <w:szCs w:val="24"/>
        </w:rPr>
        <w:t>depth interview</w:t>
      </w:r>
      <w:r w:rsidR="008A520C" w:rsidRPr="000C7512">
        <w:rPr>
          <w:sz w:val="24"/>
          <w:szCs w:val="24"/>
        </w:rPr>
        <w:t xml:space="preserve"> </w:t>
      </w:r>
      <w:r w:rsidR="00DB6C9C" w:rsidRPr="000C7512">
        <w:rPr>
          <w:sz w:val="24"/>
          <w:szCs w:val="24"/>
        </w:rPr>
        <w:t xml:space="preserve">(wawancara mendalam) </w:t>
      </w:r>
      <w:r w:rsidR="0055239F" w:rsidRPr="000C7512">
        <w:rPr>
          <w:sz w:val="24"/>
          <w:szCs w:val="24"/>
        </w:rPr>
        <w:t>dengan para pengelola LKS</w:t>
      </w:r>
      <w:r w:rsidR="006064CF" w:rsidRPr="000C7512">
        <w:rPr>
          <w:sz w:val="24"/>
          <w:szCs w:val="24"/>
        </w:rPr>
        <w:t xml:space="preserve"> dan </w:t>
      </w:r>
      <w:r w:rsidR="0055239F" w:rsidRPr="000C7512">
        <w:rPr>
          <w:sz w:val="24"/>
          <w:szCs w:val="24"/>
        </w:rPr>
        <w:t xml:space="preserve">para hakim </w:t>
      </w:r>
      <w:r w:rsidR="006064CF" w:rsidRPr="000C7512">
        <w:rPr>
          <w:sz w:val="24"/>
          <w:szCs w:val="24"/>
        </w:rPr>
        <w:t>baik Pen</w:t>
      </w:r>
      <w:r w:rsidR="0055239F" w:rsidRPr="000C7512">
        <w:rPr>
          <w:sz w:val="24"/>
          <w:szCs w:val="24"/>
        </w:rPr>
        <w:t xml:space="preserve">gadilan </w:t>
      </w:r>
      <w:r w:rsidR="006064CF" w:rsidRPr="000C7512">
        <w:rPr>
          <w:sz w:val="24"/>
          <w:szCs w:val="24"/>
        </w:rPr>
        <w:t>A</w:t>
      </w:r>
      <w:r w:rsidR="0055239F" w:rsidRPr="000C7512">
        <w:rPr>
          <w:sz w:val="24"/>
          <w:szCs w:val="24"/>
        </w:rPr>
        <w:t>gama (PA)</w:t>
      </w:r>
      <w:r w:rsidR="00BA154E" w:rsidRPr="000C7512">
        <w:rPr>
          <w:sz w:val="24"/>
          <w:szCs w:val="24"/>
        </w:rPr>
        <w:t>,</w:t>
      </w:r>
      <w:r w:rsidR="0055239F" w:rsidRPr="000C7512">
        <w:rPr>
          <w:sz w:val="24"/>
          <w:szCs w:val="24"/>
        </w:rPr>
        <w:t xml:space="preserve"> dan Pengadilan Negeri (PN)</w:t>
      </w:r>
      <w:r w:rsidR="004B1013" w:rsidRPr="000C7512">
        <w:rPr>
          <w:sz w:val="24"/>
          <w:szCs w:val="24"/>
        </w:rPr>
        <w:t xml:space="preserve">. </w:t>
      </w:r>
      <w:r w:rsidR="00972481" w:rsidRPr="000C7512">
        <w:rPr>
          <w:sz w:val="24"/>
          <w:szCs w:val="24"/>
          <w:lang w:val="id-ID"/>
        </w:rPr>
        <w:t xml:space="preserve">Sementara </w:t>
      </w:r>
      <w:r w:rsidR="004B1013" w:rsidRPr="000C7512">
        <w:rPr>
          <w:sz w:val="24"/>
          <w:szCs w:val="24"/>
          <w:lang w:val="id-ID"/>
        </w:rPr>
        <w:t xml:space="preserve">Lembaga Keuangan Syariah </w:t>
      </w:r>
      <w:r w:rsidR="006064CF" w:rsidRPr="000C7512">
        <w:rPr>
          <w:sz w:val="24"/>
          <w:szCs w:val="24"/>
        </w:rPr>
        <w:t>(LKS) yang menjadi objek penelitian ini terdiri dari dua bank syariah, yaitu Mandiri Syariah dan BRI Syariah, serta satu koperasi Jasa Keuangan Syariah (KJKS), yaitu BMT Bima. Dan semua lembaga tersebut berlokasi di wilayah Kota Magelang.</w:t>
      </w:r>
    </w:p>
    <w:p w:rsidR="0014497B" w:rsidRPr="000C7512" w:rsidRDefault="006064CF" w:rsidP="000C7512">
      <w:pPr>
        <w:spacing w:line="360" w:lineRule="auto"/>
        <w:ind w:firstLine="426"/>
        <w:jc w:val="both"/>
        <w:rPr>
          <w:sz w:val="24"/>
          <w:szCs w:val="24"/>
          <w:lang w:val="id-ID"/>
        </w:rPr>
      </w:pPr>
      <w:r w:rsidRPr="000C7512">
        <w:rPr>
          <w:sz w:val="24"/>
          <w:szCs w:val="24"/>
        </w:rPr>
        <w:lastRenderedPageBreak/>
        <w:t xml:space="preserve">Disamping </w:t>
      </w:r>
      <w:r w:rsidR="004B1013" w:rsidRPr="000C7512">
        <w:rPr>
          <w:sz w:val="24"/>
          <w:szCs w:val="24"/>
          <w:lang w:val="id-ID"/>
        </w:rPr>
        <w:t>wawancara</w:t>
      </w:r>
      <w:r w:rsidR="004C05B5" w:rsidRPr="000C7512">
        <w:rPr>
          <w:sz w:val="24"/>
          <w:szCs w:val="24"/>
        </w:rPr>
        <w:t>, penelitian ini juga menggunakan studi</w:t>
      </w:r>
      <w:r w:rsidR="004B1013" w:rsidRPr="000C7512">
        <w:rPr>
          <w:sz w:val="24"/>
          <w:szCs w:val="24"/>
          <w:lang w:val="id-ID"/>
        </w:rPr>
        <w:t xml:space="preserve"> </w:t>
      </w:r>
      <w:r w:rsidR="00155609" w:rsidRPr="000C7512">
        <w:rPr>
          <w:sz w:val="24"/>
          <w:szCs w:val="24"/>
        </w:rPr>
        <w:t xml:space="preserve">literatur seperti </w:t>
      </w:r>
      <w:r w:rsidR="004B1013" w:rsidRPr="000C7512">
        <w:rPr>
          <w:sz w:val="24"/>
          <w:szCs w:val="24"/>
          <w:lang w:val="id-ID"/>
        </w:rPr>
        <w:t>undang-undang</w:t>
      </w:r>
      <w:r w:rsidR="00972481" w:rsidRPr="000C7512">
        <w:rPr>
          <w:sz w:val="24"/>
          <w:szCs w:val="24"/>
          <w:lang w:val="id-ID"/>
        </w:rPr>
        <w:t>,</w:t>
      </w:r>
      <w:r w:rsidR="004B1013" w:rsidRPr="000C7512">
        <w:rPr>
          <w:sz w:val="24"/>
          <w:szCs w:val="24"/>
          <w:lang w:val="id-ID"/>
        </w:rPr>
        <w:t xml:space="preserve"> </w:t>
      </w:r>
      <w:r w:rsidR="004C05B5" w:rsidRPr="000C7512">
        <w:rPr>
          <w:sz w:val="24"/>
          <w:szCs w:val="24"/>
        </w:rPr>
        <w:t xml:space="preserve">artikel </w:t>
      </w:r>
      <w:r w:rsidR="004B1013" w:rsidRPr="000C7512">
        <w:rPr>
          <w:sz w:val="24"/>
          <w:szCs w:val="24"/>
          <w:lang w:val="id-ID"/>
        </w:rPr>
        <w:t>jurnal</w:t>
      </w:r>
      <w:r w:rsidR="008F43BE" w:rsidRPr="000C7512">
        <w:rPr>
          <w:sz w:val="24"/>
          <w:szCs w:val="24"/>
        </w:rPr>
        <w:t xml:space="preserve">, dan </w:t>
      </w:r>
      <w:r w:rsidR="008F43BE" w:rsidRPr="000C7512">
        <w:rPr>
          <w:sz w:val="24"/>
          <w:szCs w:val="24"/>
          <w:lang w:val="id-ID"/>
        </w:rPr>
        <w:t xml:space="preserve">buku-buku </w:t>
      </w:r>
      <w:r w:rsidR="008F43BE" w:rsidRPr="000C7512">
        <w:rPr>
          <w:sz w:val="24"/>
          <w:szCs w:val="24"/>
        </w:rPr>
        <w:t>referensi</w:t>
      </w:r>
      <w:r w:rsidR="004C05B5" w:rsidRPr="000C7512">
        <w:rPr>
          <w:sz w:val="24"/>
          <w:szCs w:val="24"/>
        </w:rPr>
        <w:t xml:space="preserve"> yang relevan dengan penelitian ini.</w:t>
      </w:r>
    </w:p>
    <w:p w:rsidR="0014497B" w:rsidRPr="000C7512" w:rsidRDefault="0014497B" w:rsidP="000C7512">
      <w:pPr>
        <w:spacing w:line="360" w:lineRule="auto"/>
        <w:jc w:val="both"/>
        <w:rPr>
          <w:sz w:val="24"/>
          <w:szCs w:val="24"/>
          <w:lang w:val="id-ID"/>
        </w:rPr>
      </w:pPr>
    </w:p>
    <w:p w:rsidR="004B1013" w:rsidRPr="000C7512" w:rsidRDefault="004B1013" w:rsidP="00B274B2">
      <w:pPr>
        <w:pStyle w:val="Heading2"/>
        <w:spacing w:line="360" w:lineRule="auto"/>
      </w:pPr>
      <w:r w:rsidRPr="000C7512">
        <w:rPr>
          <w:lang w:val="id-ID"/>
        </w:rPr>
        <w:t>HASIL DAN PEMBAHASAN</w:t>
      </w:r>
    </w:p>
    <w:p w:rsidR="0071706B" w:rsidRPr="000C7512" w:rsidRDefault="0071706B" w:rsidP="000C7512">
      <w:pPr>
        <w:pStyle w:val="Heading3"/>
        <w:numPr>
          <w:ilvl w:val="0"/>
          <w:numId w:val="12"/>
        </w:numPr>
        <w:spacing w:line="360" w:lineRule="auto"/>
        <w:jc w:val="both"/>
        <w:rPr>
          <w:rFonts w:ascii="Times New Roman" w:hAnsi="Times New Roman" w:cs="Times New Roman"/>
          <w:b/>
          <w:bCs/>
          <w:color w:val="000000" w:themeColor="text1"/>
          <w:lang w:val="id-ID"/>
        </w:rPr>
      </w:pPr>
      <w:r w:rsidRPr="000C7512">
        <w:rPr>
          <w:rFonts w:ascii="Times New Roman" w:hAnsi="Times New Roman" w:cs="Times New Roman"/>
          <w:b/>
          <w:bCs/>
          <w:color w:val="000000" w:themeColor="text1"/>
          <w:lang w:val="id-ID"/>
        </w:rPr>
        <w:t>Perkembangan LKS di Kota Magelang</w:t>
      </w:r>
    </w:p>
    <w:p w:rsidR="009B7FD2" w:rsidRDefault="0078484D" w:rsidP="000C7512">
      <w:pPr>
        <w:spacing w:line="360" w:lineRule="auto"/>
        <w:ind w:firstLine="426"/>
        <w:jc w:val="both"/>
        <w:rPr>
          <w:sz w:val="24"/>
          <w:szCs w:val="24"/>
        </w:rPr>
      </w:pPr>
      <w:r w:rsidRPr="000C7512">
        <w:rPr>
          <w:sz w:val="24"/>
          <w:szCs w:val="24"/>
        </w:rPr>
        <w:t>L</w:t>
      </w:r>
      <w:r w:rsidR="000F15F6" w:rsidRPr="000C7512">
        <w:rPr>
          <w:sz w:val="24"/>
          <w:szCs w:val="24"/>
        </w:rPr>
        <w:t xml:space="preserve">embaga </w:t>
      </w:r>
      <w:r w:rsidRPr="000C7512">
        <w:rPr>
          <w:sz w:val="24"/>
          <w:szCs w:val="24"/>
        </w:rPr>
        <w:t>K</w:t>
      </w:r>
      <w:r w:rsidR="000F15F6" w:rsidRPr="000C7512">
        <w:rPr>
          <w:sz w:val="24"/>
          <w:szCs w:val="24"/>
        </w:rPr>
        <w:t xml:space="preserve">euangan </w:t>
      </w:r>
      <w:r w:rsidRPr="000C7512">
        <w:rPr>
          <w:sz w:val="24"/>
          <w:szCs w:val="24"/>
        </w:rPr>
        <w:t>S</w:t>
      </w:r>
      <w:r w:rsidR="000F15F6" w:rsidRPr="000C7512">
        <w:rPr>
          <w:sz w:val="24"/>
          <w:szCs w:val="24"/>
        </w:rPr>
        <w:t>yariah (LKS)</w:t>
      </w:r>
      <w:r w:rsidRPr="000C7512">
        <w:rPr>
          <w:sz w:val="24"/>
          <w:szCs w:val="24"/>
        </w:rPr>
        <w:t xml:space="preserve"> </w:t>
      </w:r>
      <w:r w:rsidR="00ED5042" w:rsidRPr="000C7512">
        <w:rPr>
          <w:sz w:val="24"/>
          <w:szCs w:val="24"/>
        </w:rPr>
        <w:t>di Kota Magelang menunjukan eksistensi</w:t>
      </w:r>
      <w:r w:rsidRPr="000C7512">
        <w:rPr>
          <w:sz w:val="24"/>
          <w:szCs w:val="24"/>
        </w:rPr>
        <w:t>nya</w:t>
      </w:r>
      <w:r w:rsidR="00ED5042" w:rsidRPr="000C7512">
        <w:rPr>
          <w:sz w:val="24"/>
          <w:szCs w:val="24"/>
        </w:rPr>
        <w:t xml:space="preserve"> di tengah menjamurnya lembaga keuangan konvensional. Di Kota Magelang yang terdiri dari tiga kecamatan, LKS dapat diterima dengan baik oleh masyarakat dan memiliki kontribusi yang tidak sedikit dalam pembangunan model keuangan alternative </w:t>
      </w:r>
      <w:r w:rsidR="00351AED" w:rsidRPr="000C7512">
        <w:rPr>
          <w:sz w:val="24"/>
          <w:szCs w:val="24"/>
        </w:rPr>
        <w:t xml:space="preserve">bagi masyarakat </w:t>
      </w:r>
      <w:proofErr w:type="gramStart"/>
      <w:r w:rsidR="00351AED" w:rsidRPr="000C7512">
        <w:rPr>
          <w:sz w:val="24"/>
          <w:szCs w:val="24"/>
        </w:rPr>
        <w:t>kota</w:t>
      </w:r>
      <w:proofErr w:type="gramEnd"/>
      <w:r w:rsidR="00ED5042" w:rsidRPr="000C7512">
        <w:rPr>
          <w:sz w:val="24"/>
          <w:szCs w:val="24"/>
        </w:rPr>
        <w:t xml:space="preserve"> ini. </w:t>
      </w:r>
      <w:r w:rsidRPr="000C7512">
        <w:rPr>
          <w:sz w:val="24"/>
          <w:szCs w:val="24"/>
        </w:rPr>
        <w:t>Secara historis, e</w:t>
      </w:r>
      <w:r w:rsidR="00ED5042" w:rsidRPr="000C7512">
        <w:rPr>
          <w:sz w:val="24"/>
          <w:szCs w:val="24"/>
        </w:rPr>
        <w:t xml:space="preserve">ksistensi </w:t>
      </w:r>
      <w:r w:rsidRPr="000C7512">
        <w:rPr>
          <w:sz w:val="24"/>
          <w:szCs w:val="24"/>
        </w:rPr>
        <w:t>LKS</w:t>
      </w:r>
      <w:r w:rsidR="00ED5042" w:rsidRPr="000C7512">
        <w:rPr>
          <w:sz w:val="24"/>
          <w:szCs w:val="24"/>
        </w:rPr>
        <w:t xml:space="preserve"> di Kota Magelang dimulai pada tahun 90-an, dengan berdirinya berbagai Baitul Mal </w:t>
      </w:r>
      <w:proofErr w:type="gramStart"/>
      <w:r w:rsidRPr="000C7512">
        <w:rPr>
          <w:sz w:val="24"/>
          <w:szCs w:val="24"/>
        </w:rPr>
        <w:t>w</w:t>
      </w:r>
      <w:r w:rsidR="00ED5042" w:rsidRPr="000C7512">
        <w:rPr>
          <w:sz w:val="24"/>
          <w:szCs w:val="24"/>
        </w:rPr>
        <w:t>a</w:t>
      </w:r>
      <w:proofErr w:type="gramEnd"/>
      <w:r w:rsidRPr="000C7512">
        <w:rPr>
          <w:sz w:val="24"/>
          <w:szCs w:val="24"/>
        </w:rPr>
        <w:t xml:space="preserve"> T</w:t>
      </w:r>
      <w:r w:rsidR="00ED5042" w:rsidRPr="000C7512">
        <w:rPr>
          <w:sz w:val="24"/>
          <w:szCs w:val="24"/>
        </w:rPr>
        <w:t>amwil</w:t>
      </w:r>
      <w:r w:rsidRPr="000C7512">
        <w:rPr>
          <w:sz w:val="24"/>
          <w:szCs w:val="24"/>
        </w:rPr>
        <w:t xml:space="preserve"> (BMT)</w:t>
      </w:r>
      <w:r w:rsidR="00ED5042" w:rsidRPr="000C7512">
        <w:rPr>
          <w:sz w:val="24"/>
          <w:szCs w:val="24"/>
        </w:rPr>
        <w:t xml:space="preserve"> pada saat itu. </w:t>
      </w:r>
      <w:r w:rsidRPr="000C7512">
        <w:rPr>
          <w:sz w:val="24"/>
          <w:szCs w:val="24"/>
        </w:rPr>
        <w:t>Seiring d</w:t>
      </w:r>
      <w:r w:rsidR="002A797D" w:rsidRPr="000C7512">
        <w:rPr>
          <w:sz w:val="24"/>
          <w:szCs w:val="24"/>
        </w:rPr>
        <w:t>engan diterbitkanya UU Perban</w:t>
      </w:r>
      <w:r w:rsidR="00ED5042" w:rsidRPr="000C7512">
        <w:rPr>
          <w:sz w:val="24"/>
          <w:szCs w:val="24"/>
        </w:rPr>
        <w:t xml:space="preserve">kan syariah, LKS tidak terbatas </w:t>
      </w:r>
      <w:r w:rsidR="00351AED" w:rsidRPr="000C7512">
        <w:rPr>
          <w:sz w:val="24"/>
          <w:szCs w:val="24"/>
        </w:rPr>
        <w:t xml:space="preserve">pada </w:t>
      </w:r>
      <w:r w:rsidR="00ED5042" w:rsidRPr="000C7512">
        <w:rPr>
          <w:sz w:val="24"/>
          <w:szCs w:val="24"/>
        </w:rPr>
        <w:t xml:space="preserve">BMT dan Koperasi syariah, tetapi memberikan peluang pendirian Bank-bank syariah yang pada awalnya berkutat pada pola konvensional. </w:t>
      </w:r>
    </w:p>
    <w:p w:rsidR="00FE21CB" w:rsidRPr="000C7512" w:rsidRDefault="00FE21CB" w:rsidP="00FE21CB">
      <w:pPr>
        <w:spacing w:line="360" w:lineRule="auto"/>
        <w:jc w:val="center"/>
        <w:rPr>
          <w:sz w:val="24"/>
          <w:szCs w:val="24"/>
        </w:rPr>
      </w:pPr>
      <w:r w:rsidRPr="000C7512">
        <w:rPr>
          <w:sz w:val="24"/>
          <w:szCs w:val="24"/>
        </w:rPr>
        <w:t>Tabel: Distribusi Persebaran KSP/KSPPS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007"/>
      </w:tblGrid>
      <w:tr w:rsidR="00FE21CB" w:rsidRPr="000C7512" w:rsidTr="00B35511">
        <w:trPr>
          <w:trHeight w:val="170"/>
          <w:jc w:val="center"/>
        </w:trPr>
        <w:tc>
          <w:tcPr>
            <w:tcW w:w="2830" w:type="dxa"/>
            <w:shd w:val="clear" w:color="auto" w:fill="auto"/>
            <w:noWrap/>
            <w:vAlign w:val="center"/>
            <w:hideMark/>
          </w:tcPr>
          <w:p w:rsidR="00FE21CB" w:rsidRPr="000C7512" w:rsidRDefault="00FE21CB" w:rsidP="00B35511">
            <w:pPr>
              <w:widowControl/>
              <w:autoSpaceDE/>
              <w:autoSpaceDN/>
              <w:spacing w:line="276" w:lineRule="auto"/>
              <w:jc w:val="center"/>
              <w:rPr>
                <w:color w:val="000000"/>
                <w:sz w:val="24"/>
                <w:szCs w:val="24"/>
              </w:rPr>
            </w:pPr>
            <w:r w:rsidRPr="000C7512">
              <w:rPr>
                <w:color w:val="000000"/>
                <w:sz w:val="24"/>
                <w:szCs w:val="24"/>
              </w:rPr>
              <w:t>Magelang Selatan</w:t>
            </w:r>
          </w:p>
        </w:tc>
        <w:tc>
          <w:tcPr>
            <w:tcW w:w="2007" w:type="dxa"/>
            <w:vAlign w:val="center"/>
          </w:tcPr>
          <w:p w:rsidR="00FE21CB" w:rsidRPr="000C7512" w:rsidRDefault="00FE21CB" w:rsidP="00B35511">
            <w:pPr>
              <w:widowControl/>
              <w:autoSpaceDE/>
              <w:autoSpaceDN/>
              <w:spacing w:line="276" w:lineRule="auto"/>
              <w:jc w:val="center"/>
              <w:rPr>
                <w:color w:val="000000"/>
                <w:sz w:val="24"/>
                <w:szCs w:val="24"/>
              </w:rPr>
            </w:pPr>
            <w:r w:rsidRPr="000C7512">
              <w:rPr>
                <w:color w:val="000000"/>
                <w:sz w:val="24"/>
                <w:szCs w:val="24"/>
              </w:rPr>
              <w:t>KSP/KSPPS</w:t>
            </w:r>
          </w:p>
        </w:tc>
      </w:tr>
      <w:tr w:rsidR="00FE21CB" w:rsidRPr="000C7512" w:rsidTr="00B35511">
        <w:trPr>
          <w:trHeight w:val="170"/>
          <w:jc w:val="center"/>
        </w:trPr>
        <w:tc>
          <w:tcPr>
            <w:tcW w:w="2830" w:type="dxa"/>
            <w:shd w:val="clear" w:color="auto" w:fill="auto"/>
            <w:noWrap/>
            <w:vAlign w:val="center"/>
            <w:hideMark/>
          </w:tcPr>
          <w:p w:rsidR="00FE21CB" w:rsidRPr="000C7512" w:rsidRDefault="00FE21CB" w:rsidP="00B35511">
            <w:pPr>
              <w:spacing w:line="276" w:lineRule="auto"/>
              <w:jc w:val="both"/>
              <w:rPr>
                <w:sz w:val="24"/>
                <w:szCs w:val="24"/>
              </w:rPr>
            </w:pPr>
            <w:r w:rsidRPr="000C7512">
              <w:rPr>
                <w:sz w:val="24"/>
                <w:szCs w:val="24"/>
              </w:rPr>
              <w:t>Tidar Utara</w:t>
            </w:r>
          </w:p>
        </w:tc>
        <w:tc>
          <w:tcPr>
            <w:tcW w:w="2007" w:type="dxa"/>
            <w:vAlign w:val="center"/>
          </w:tcPr>
          <w:p w:rsidR="00FE21CB" w:rsidRPr="000C7512" w:rsidRDefault="00FE21CB" w:rsidP="00B35511">
            <w:pPr>
              <w:spacing w:line="276" w:lineRule="auto"/>
              <w:jc w:val="center"/>
              <w:rPr>
                <w:sz w:val="24"/>
                <w:szCs w:val="24"/>
              </w:rPr>
            </w:pPr>
            <w:r w:rsidRPr="000C7512">
              <w:rPr>
                <w:sz w:val="24"/>
                <w:szCs w:val="24"/>
              </w:rPr>
              <w:t>0</w:t>
            </w:r>
          </w:p>
        </w:tc>
      </w:tr>
      <w:tr w:rsidR="00FE21CB" w:rsidRPr="000C7512" w:rsidTr="00B35511">
        <w:trPr>
          <w:trHeight w:val="170"/>
          <w:jc w:val="center"/>
        </w:trPr>
        <w:tc>
          <w:tcPr>
            <w:tcW w:w="2830" w:type="dxa"/>
            <w:shd w:val="clear" w:color="auto" w:fill="auto"/>
            <w:noWrap/>
            <w:vAlign w:val="center"/>
            <w:hideMark/>
          </w:tcPr>
          <w:p w:rsidR="00FE21CB" w:rsidRPr="000C7512" w:rsidRDefault="00FE21CB" w:rsidP="00B35511">
            <w:pPr>
              <w:spacing w:line="276" w:lineRule="auto"/>
              <w:jc w:val="both"/>
              <w:rPr>
                <w:sz w:val="24"/>
                <w:szCs w:val="24"/>
              </w:rPr>
            </w:pPr>
            <w:r w:rsidRPr="000C7512">
              <w:rPr>
                <w:sz w:val="24"/>
                <w:szCs w:val="24"/>
              </w:rPr>
              <w:t>Tidar Selatan</w:t>
            </w:r>
          </w:p>
        </w:tc>
        <w:tc>
          <w:tcPr>
            <w:tcW w:w="2007" w:type="dxa"/>
            <w:vAlign w:val="center"/>
          </w:tcPr>
          <w:p w:rsidR="00FE21CB" w:rsidRPr="000C7512" w:rsidRDefault="00FE21CB" w:rsidP="00B35511">
            <w:pPr>
              <w:spacing w:line="276" w:lineRule="auto"/>
              <w:jc w:val="center"/>
              <w:rPr>
                <w:sz w:val="24"/>
                <w:szCs w:val="24"/>
              </w:rPr>
            </w:pPr>
            <w:r w:rsidRPr="000C7512">
              <w:rPr>
                <w:sz w:val="24"/>
                <w:szCs w:val="24"/>
              </w:rPr>
              <w:t>0</w:t>
            </w:r>
          </w:p>
        </w:tc>
      </w:tr>
      <w:tr w:rsidR="00FE21CB" w:rsidRPr="000C7512" w:rsidTr="00B35511">
        <w:trPr>
          <w:trHeight w:val="170"/>
          <w:jc w:val="center"/>
        </w:trPr>
        <w:tc>
          <w:tcPr>
            <w:tcW w:w="2830" w:type="dxa"/>
            <w:shd w:val="clear" w:color="auto" w:fill="auto"/>
            <w:noWrap/>
            <w:vAlign w:val="center"/>
            <w:hideMark/>
          </w:tcPr>
          <w:p w:rsidR="00FE21CB" w:rsidRPr="000C7512" w:rsidRDefault="00FE21CB" w:rsidP="00B35511">
            <w:pPr>
              <w:spacing w:line="276" w:lineRule="auto"/>
              <w:jc w:val="both"/>
              <w:rPr>
                <w:sz w:val="24"/>
                <w:szCs w:val="24"/>
              </w:rPr>
            </w:pPr>
            <w:r w:rsidRPr="000C7512">
              <w:rPr>
                <w:sz w:val="24"/>
                <w:szCs w:val="24"/>
              </w:rPr>
              <w:t>Jurangombo Selatan</w:t>
            </w:r>
          </w:p>
        </w:tc>
        <w:tc>
          <w:tcPr>
            <w:tcW w:w="2007" w:type="dxa"/>
            <w:vAlign w:val="center"/>
          </w:tcPr>
          <w:p w:rsidR="00FE21CB" w:rsidRPr="000C7512" w:rsidRDefault="00FE21CB" w:rsidP="00B35511">
            <w:pPr>
              <w:spacing w:line="276" w:lineRule="auto"/>
              <w:jc w:val="center"/>
              <w:rPr>
                <w:sz w:val="24"/>
                <w:szCs w:val="24"/>
              </w:rPr>
            </w:pPr>
            <w:r w:rsidRPr="000C7512">
              <w:rPr>
                <w:sz w:val="24"/>
                <w:szCs w:val="24"/>
              </w:rPr>
              <w:t>2</w:t>
            </w:r>
          </w:p>
        </w:tc>
      </w:tr>
      <w:tr w:rsidR="00FE21CB" w:rsidRPr="000C7512" w:rsidTr="00B35511">
        <w:trPr>
          <w:trHeight w:val="170"/>
          <w:jc w:val="center"/>
        </w:trPr>
        <w:tc>
          <w:tcPr>
            <w:tcW w:w="2830" w:type="dxa"/>
            <w:shd w:val="clear" w:color="auto" w:fill="auto"/>
            <w:noWrap/>
            <w:vAlign w:val="center"/>
            <w:hideMark/>
          </w:tcPr>
          <w:p w:rsidR="00FE21CB" w:rsidRPr="000C7512" w:rsidRDefault="00FE21CB" w:rsidP="00B35511">
            <w:pPr>
              <w:spacing w:line="276" w:lineRule="auto"/>
              <w:jc w:val="both"/>
              <w:rPr>
                <w:sz w:val="24"/>
                <w:szCs w:val="24"/>
              </w:rPr>
            </w:pPr>
            <w:r w:rsidRPr="000C7512">
              <w:rPr>
                <w:sz w:val="24"/>
                <w:szCs w:val="24"/>
              </w:rPr>
              <w:t>Magersari</w:t>
            </w:r>
          </w:p>
        </w:tc>
        <w:tc>
          <w:tcPr>
            <w:tcW w:w="2007" w:type="dxa"/>
            <w:vAlign w:val="center"/>
          </w:tcPr>
          <w:p w:rsidR="00FE21CB" w:rsidRPr="000C7512" w:rsidRDefault="00FE21CB" w:rsidP="00B35511">
            <w:pPr>
              <w:spacing w:line="276" w:lineRule="auto"/>
              <w:jc w:val="center"/>
              <w:rPr>
                <w:sz w:val="24"/>
                <w:szCs w:val="24"/>
              </w:rPr>
            </w:pPr>
            <w:r w:rsidRPr="000C7512">
              <w:rPr>
                <w:sz w:val="24"/>
                <w:szCs w:val="24"/>
              </w:rPr>
              <w:t>4</w:t>
            </w:r>
          </w:p>
        </w:tc>
      </w:tr>
      <w:tr w:rsidR="00FE21CB" w:rsidRPr="000C7512" w:rsidTr="00B35511">
        <w:trPr>
          <w:trHeight w:val="170"/>
          <w:jc w:val="center"/>
        </w:trPr>
        <w:tc>
          <w:tcPr>
            <w:tcW w:w="2830" w:type="dxa"/>
            <w:shd w:val="clear" w:color="auto" w:fill="auto"/>
            <w:noWrap/>
            <w:vAlign w:val="center"/>
          </w:tcPr>
          <w:p w:rsidR="00FE21CB" w:rsidRPr="000C7512" w:rsidRDefault="00FE21CB" w:rsidP="00B35511">
            <w:pPr>
              <w:spacing w:line="276" w:lineRule="auto"/>
              <w:jc w:val="both"/>
              <w:rPr>
                <w:sz w:val="24"/>
                <w:szCs w:val="24"/>
              </w:rPr>
            </w:pPr>
            <w:r w:rsidRPr="000C7512">
              <w:rPr>
                <w:sz w:val="24"/>
                <w:szCs w:val="24"/>
              </w:rPr>
              <w:t>Jurangombo Utara</w:t>
            </w:r>
          </w:p>
        </w:tc>
        <w:tc>
          <w:tcPr>
            <w:tcW w:w="2007" w:type="dxa"/>
            <w:vAlign w:val="center"/>
          </w:tcPr>
          <w:p w:rsidR="00FE21CB" w:rsidRPr="000C7512" w:rsidRDefault="00FE21CB" w:rsidP="00B35511">
            <w:pPr>
              <w:spacing w:line="276" w:lineRule="auto"/>
              <w:jc w:val="center"/>
              <w:rPr>
                <w:sz w:val="24"/>
                <w:szCs w:val="24"/>
              </w:rPr>
            </w:pPr>
            <w:r w:rsidRPr="000C7512">
              <w:rPr>
                <w:sz w:val="24"/>
                <w:szCs w:val="24"/>
              </w:rPr>
              <w:t>4</w:t>
            </w:r>
          </w:p>
        </w:tc>
      </w:tr>
      <w:tr w:rsidR="00FE21CB" w:rsidRPr="000C7512" w:rsidTr="00B35511">
        <w:trPr>
          <w:trHeight w:val="170"/>
          <w:jc w:val="center"/>
        </w:trPr>
        <w:tc>
          <w:tcPr>
            <w:tcW w:w="2830" w:type="dxa"/>
            <w:shd w:val="clear" w:color="auto" w:fill="auto"/>
            <w:noWrap/>
            <w:vAlign w:val="center"/>
          </w:tcPr>
          <w:p w:rsidR="00FE21CB" w:rsidRPr="000C7512" w:rsidRDefault="00FE21CB" w:rsidP="00B35511">
            <w:pPr>
              <w:spacing w:line="276" w:lineRule="auto"/>
              <w:jc w:val="both"/>
              <w:rPr>
                <w:sz w:val="24"/>
                <w:szCs w:val="24"/>
              </w:rPr>
            </w:pPr>
            <w:r w:rsidRPr="000C7512">
              <w:rPr>
                <w:sz w:val="24"/>
                <w:szCs w:val="24"/>
              </w:rPr>
              <w:t>Rejowinangun Selatan</w:t>
            </w:r>
          </w:p>
        </w:tc>
        <w:tc>
          <w:tcPr>
            <w:tcW w:w="2007" w:type="dxa"/>
            <w:vAlign w:val="center"/>
          </w:tcPr>
          <w:p w:rsidR="00FE21CB" w:rsidRPr="000C7512" w:rsidRDefault="00FE21CB" w:rsidP="00B35511">
            <w:pPr>
              <w:spacing w:line="276" w:lineRule="auto"/>
              <w:jc w:val="center"/>
              <w:rPr>
                <w:sz w:val="24"/>
                <w:szCs w:val="24"/>
              </w:rPr>
            </w:pPr>
            <w:r w:rsidRPr="000C7512">
              <w:rPr>
                <w:sz w:val="24"/>
                <w:szCs w:val="24"/>
              </w:rPr>
              <w:t>5</w:t>
            </w:r>
          </w:p>
        </w:tc>
      </w:tr>
      <w:tr w:rsidR="00FE21CB" w:rsidRPr="000C7512" w:rsidTr="00B35511">
        <w:trPr>
          <w:trHeight w:val="170"/>
          <w:jc w:val="center"/>
        </w:trPr>
        <w:tc>
          <w:tcPr>
            <w:tcW w:w="2830" w:type="dxa"/>
            <w:shd w:val="clear" w:color="auto" w:fill="auto"/>
            <w:noWrap/>
            <w:vAlign w:val="center"/>
          </w:tcPr>
          <w:p w:rsidR="00FE21CB" w:rsidRPr="000C7512" w:rsidRDefault="00FE21CB" w:rsidP="00B35511">
            <w:pPr>
              <w:spacing w:line="276" w:lineRule="auto"/>
              <w:jc w:val="right"/>
              <w:rPr>
                <w:sz w:val="24"/>
                <w:szCs w:val="24"/>
              </w:rPr>
            </w:pPr>
            <w:r w:rsidRPr="000C7512">
              <w:rPr>
                <w:sz w:val="24"/>
                <w:szCs w:val="24"/>
              </w:rPr>
              <w:t>Jumlah</w:t>
            </w:r>
          </w:p>
        </w:tc>
        <w:tc>
          <w:tcPr>
            <w:tcW w:w="2007" w:type="dxa"/>
            <w:vAlign w:val="center"/>
          </w:tcPr>
          <w:p w:rsidR="00FE21CB" w:rsidRPr="000C7512" w:rsidRDefault="00FE21CB" w:rsidP="00B35511">
            <w:pPr>
              <w:spacing w:line="276" w:lineRule="auto"/>
              <w:jc w:val="center"/>
              <w:rPr>
                <w:sz w:val="24"/>
                <w:szCs w:val="24"/>
              </w:rPr>
            </w:pPr>
            <w:r w:rsidRPr="000C7512">
              <w:rPr>
                <w:sz w:val="24"/>
                <w:szCs w:val="24"/>
              </w:rPr>
              <w:t>15</w:t>
            </w:r>
          </w:p>
        </w:tc>
      </w:tr>
      <w:tr w:rsidR="00FE21CB" w:rsidRPr="000C7512" w:rsidTr="00B35511">
        <w:trPr>
          <w:trHeight w:val="170"/>
          <w:jc w:val="center"/>
        </w:trPr>
        <w:tc>
          <w:tcPr>
            <w:tcW w:w="2830" w:type="dxa"/>
            <w:tcBorders>
              <w:top w:val="single" w:sz="4" w:space="0" w:color="auto"/>
              <w:left w:val="single" w:sz="4" w:space="0" w:color="auto"/>
              <w:bottom w:val="single" w:sz="4" w:space="0" w:color="auto"/>
              <w:right w:val="single" w:sz="4" w:space="0" w:color="auto"/>
            </w:tcBorders>
            <w:vAlign w:val="center"/>
          </w:tcPr>
          <w:p w:rsidR="00FE21CB" w:rsidRPr="000C7512" w:rsidRDefault="00FE21CB" w:rsidP="00B35511">
            <w:pPr>
              <w:widowControl/>
              <w:autoSpaceDE/>
              <w:autoSpaceDN/>
              <w:spacing w:line="276" w:lineRule="auto"/>
              <w:rPr>
                <w:color w:val="000000"/>
                <w:sz w:val="24"/>
                <w:szCs w:val="24"/>
              </w:rPr>
            </w:pPr>
            <w:r w:rsidRPr="000C7512">
              <w:rPr>
                <w:color w:val="000000"/>
                <w:sz w:val="24"/>
                <w:szCs w:val="24"/>
              </w:rPr>
              <w:t>Magelang Utara</w:t>
            </w:r>
          </w:p>
        </w:tc>
        <w:tc>
          <w:tcPr>
            <w:tcW w:w="2007" w:type="dxa"/>
            <w:tcBorders>
              <w:top w:val="single" w:sz="4" w:space="0" w:color="auto"/>
              <w:left w:val="single" w:sz="4" w:space="0" w:color="auto"/>
              <w:bottom w:val="single" w:sz="4" w:space="0" w:color="auto"/>
              <w:right w:val="single" w:sz="4" w:space="0" w:color="auto"/>
            </w:tcBorders>
            <w:vAlign w:val="center"/>
          </w:tcPr>
          <w:p w:rsidR="00FE21CB" w:rsidRPr="000C7512" w:rsidRDefault="00FE21CB" w:rsidP="00B35511">
            <w:pPr>
              <w:widowControl/>
              <w:autoSpaceDE/>
              <w:autoSpaceDN/>
              <w:spacing w:line="276" w:lineRule="auto"/>
              <w:jc w:val="center"/>
              <w:rPr>
                <w:color w:val="000000"/>
                <w:sz w:val="24"/>
                <w:szCs w:val="24"/>
              </w:rPr>
            </w:pPr>
            <w:r w:rsidRPr="000C7512">
              <w:rPr>
                <w:color w:val="000000"/>
                <w:sz w:val="24"/>
                <w:szCs w:val="24"/>
              </w:rPr>
              <w:t>KSP/KSPPS</w:t>
            </w:r>
          </w:p>
        </w:tc>
      </w:tr>
      <w:tr w:rsidR="00FE21CB" w:rsidRPr="000C7512" w:rsidTr="00B35511">
        <w:trPr>
          <w:trHeight w:val="170"/>
          <w:jc w:val="center"/>
        </w:trPr>
        <w:tc>
          <w:tcPr>
            <w:tcW w:w="2830" w:type="dxa"/>
            <w:tcBorders>
              <w:top w:val="single" w:sz="4" w:space="0" w:color="auto"/>
              <w:left w:val="single" w:sz="4" w:space="0" w:color="auto"/>
              <w:bottom w:val="single" w:sz="4" w:space="0" w:color="auto"/>
              <w:right w:val="single" w:sz="4" w:space="0" w:color="auto"/>
            </w:tcBorders>
            <w:vAlign w:val="center"/>
          </w:tcPr>
          <w:p w:rsidR="00FE21CB" w:rsidRPr="000C7512" w:rsidRDefault="00FE21CB" w:rsidP="00B35511">
            <w:pPr>
              <w:widowControl/>
              <w:autoSpaceDE/>
              <w:autoSpaceDN/>
              <w:spacing w:line="276" w:lineRule="auto"/>
              <w:rPr>
                <w:color w:val="000000"/>
                <w:sz w:val="24"/>
                <w:szCs w:val="24"/>
              </w:rPr>
            </w:pPr>
            <w:r w:rsidRPr="000C7512">
              <w:rPr>
                <w:color w:val="000000"/>
                <w:sz w:val="24"/>
                <w:szCs w:val="24"/>
              </w:rPr>
              <w:t>Wates</w:t>
            </w:r>
          </w:p>
        </w:tc>
        <w:tc>
          <w:tcPr>
            <w:tcW w:w="2007" w:type="dxa"/>
            <w:tcBorders>
              <w:top w:val="single" w:sz="4" w:space="0" w:color="auto"/>
              <w:left w:val="single" w:sz="4" w:space="0" w:color="auto"/>
              <w:bottom w:val="single" w:sz="4" w:space="0" w:color="auto"/>
              <w:right w:val="single" w:sz="4" w:space="0" w:color="auto"/>
            </w:tcBorders>
            <w:vAlign w:val="center"/>
          </w:tcPr>
          <w:p w:rsidR="00FE21CB" w:rsidRPr="000C7512" w:rsidRDefault="00FE21CB" w:rsidP="00B35511">
            <w:pPr>
              <w:widowControl/>
              <w:autoSpaceDE/>
              <w:autoSpaceDN/>
              <w:spacing w:line="276" w:lineRule="auto"/>
              <w:jc w:val="center"/>
              <w:rPr>
                <w:color w:val="000000"/>
                <w:sz w:val="24"/>
                <w:szCs w:val="24"/>
              </w:rPr>
            </w:pPr>
            <w:r w:rsidRPr="000C7512">
              <w:rPr>
                <w:color w:val="000000"/>
                <w:sz w:val="24"/>
                <w:szCs w:val="24"/>
              </w:rPr>
              <w:t>3</w:t>
            </w:r>
          </w:p>
        </w:tc>
      </w:tr>
      <w:tr w:rsidR="00FE21CB" w:rsidRPr="000C7512" w:rsidTr="00B35511">
        <w:trPr>
          <w:trHeight w:val="170"/>
          <w:jc w:val="center"/>
        </w:trPr>
        <w:tc>
          <w:tcPr>
            <w:tcW w:w="2830" w:type="dxa"/>
            <w:tcBorders>
              <w:top w:val="single" w:sz="4" w:space="0" w:color="auto"/>
              <w:left w:val="single" w:sz="4" w:space="0" w:color="auto"/>
              <w:bottom w:val="single" w:sz="4" w:space="0" w:color="auto"/>
              <w:right w:val="single" w:sz="4" w:space="0" w:color="auto"/>
            </w:tcBorders>
            <w:vAlign w:val="center"/>
          </w:tcPr>
          <w:p w:rsidR="00FE21CB" w:rsidRPr="000C7512" w:rsidRDefault="00FE21CB" w:rsidP="00B35511">
            <w:pPr>
              <w:widowControl/>
              <w:autoSpaceDE/>
              <w:autoSpaceDN/>
              <w:spacing w:line="276" w:lineRule="auto"/>
              <w:rPr>
                <w:color w:val="000000"/>
                <w:sz w:val="24"/>
                <w:szCs w:val="24"/>
              </w:rPr>
            </w:pPr>
            <w:r w:rsidRPr="000C7512">
              <w:rPr>
                <w:color w:val="000000"/>
                <w:sz w:val="24"/>
                <w:szCs w:val="24"/>
              </w:rPr>
              <w:t>Potrobangsan</w:t>
            </w:r>
          </w:p>
        </w:tc>
        <w:tc>
          <w:tcPr>
            <w:tcW w:w="2007" w:type="dxa"/>
            <w:tcBorders>
              <w:top w:val="single" w:sz="4" w:space="0" w:color="auto"/>
              <w:left w:val="single" w:sz="4" w:space="0" w:color="auto"/>
              <w:bottom w:val="single" w:sz="4" w:space="0" w:color="auto"/>
              <w:right w:val="single" w:sz="4" w:space="0" w:color="auto"/>
            </w:tcBorders>
            <w:vAlign w:val="center"/>
          </w:tcPr>
          <w:p w:rsidR="00FE21CB" w:rsidRPr="000C7512" w:rsidRDefault="00FE21CB" w:rsidP="00B35511">
            <w:pPr>
              <w:widowControl/>
              <w:autoSpaceDE/>
              <w:autoSpaceDN/>
              <w:spacing w:line="276" w:lineRule="auto"/>
              <w:jc w:val="center"/>
              <w:rPr>
                <w:color w:val="000000"/>
                <w:sz w:val="24"/>
                <w:szCs w:val="24"/>
              </w:rPr>
            </w:pPr>
            <w:r w:rsidRPr="000C7512">
              <w:rPr>
                <w:color w:val="000000"/>
                <w:sz w:val="24"/>
                <w:szCs w:val="24"/>
              </w:rPr>
              <w:t>1</w:t>
            </w:r>
          </w:p>
        </w:tc>
      </w:tr>
      <w:tr w:rsidR="00FE21CB" w:rsidRPr="000C7512" w:rsidTr="00B35511">
        <w:trPr>
          <w:trHeight w:val="170"/>
          <w:jc w:val="center"/>
        </w:trPr>
        <w:tc>
          <w:tcPr>
            <w:tcW w:w="2830" w:type="dxa"/>
            <w:tcBorders>
              <w:top w:val="single" w:sz="4" w:space="0" w:color="auto"/>
              <w:left w:val="single" w:sz="4" w:space="0" w:color="auto"/>
              <w:bottom w:val="single" w:sz="4" w:space="0" w:color="auto"/>
              <w:right w:val="single" w:sz="4" w:space="0" w:color="auto"/>
            </w:tcBorders>
            <w:vAlign w:val="center"/>
          </w:tcPr>
          <w:p w:rsidR="00FE21CB" w:rsidRPr="000C7512" w:rsidRDefault="00FE21CB" w:rsidP="00B35511">
            <w:pPr>
              <w:widowControl/>
              <w:autoSpaceDE/>
              <w:autoSpaceDN/>
              <w:spacing w:line="276" w:lineRule="auto"/>
              <w:rPr>
                <w:color w:val="000000"/>
                <w:sz w:val="24"/>
                <w:szCs w:val="24"/>
              </w:rPr>
            </w:pPr>
            <w:r w:rsidRPr="000C7512">
              <w:rPr>
                <w:color w:val="000000"/>
                <w:sz w:val="24"/>
                <w:szCs w:val="24"/>
              </w:rPr>
              <w:t>Kedungsari</w:t>
            </w:r>
          </w:p>
        </w:tc>
        <w:tc>
          <w:tcPr>
            <w:tcW w:w="2007" w:type="dxa"/>
            <w:tcBorders>
              <w:top w:val="single" w:sz="4" w:space="0" w:color="auto"/>
              <w:left w:val="single" w:sz="4" w:space="0" w:color="auto"/>
              <w:bottom w:val="single" w:sz="4" w:space="0" w:color="auto"/>
              <w:right w:val="single" w:sz="4" w:space="0" w:color="auto"/>
            </w:tcBorders>
            <w:vAlign w:val="center"/>
          </w:tcPr>
          <w:p w:rsidR="00FE21CB" w:rsidRPr="000C7512" w:rsidRDefault="00FE21CB" w:rsidP="00B35511">
            <w:pPr>
              <w:widowControl/>
              <w:autoSpaceDE/>
              <w:autoSpaceDN/>
              <w:spacing w:line="276" w:lineRule="auto"/>
              <w:jc w:val="center"/>
              <w:rPr>
                <w:color w:val="000000"/>
                <w:sz w:val="24"/>
                <w:szCs w:val="24"/>
              </w:rPr>
            </w:pPr>
            <w:r w:rsidRPr="000C7512">
              <w:rPr>
                <w:color w:val="000000"/>
                <w:sz w:val="24"/>
                <w:szCs w:val="24"/>
              </w:rPr>
              <w:t>4</w:t>
            </w:r>
          </w:p>
        </w:tc>
      </w:tr>
      <w:tr w:rsidR="00FE21CB" w:rsidRPr="000C7512" w:rsidTr="00B35511">
        <w:trPr>
          <w:trHeight w:val="170"/>
          <w:jc w:val="center"/>
        </w:trPr>
        <w:tc>
          <w:tcPr>
            <w:tcW w:w="2830" w:type="dxa"/>
            <w:tcBorders>
              <w:top w:val="single" w:sz="4" w:space="0" w:color="auto"/>
              <w:left w:val="single" w:sz="4" w:space="0" w:color="auto"/>
              <w:bottom w:val="single" w:sz="4" w:space="0" w:color="auto"/>
              <w:right w:val="single" w:sz="4" w:space="0" w:color="auto"/>
            </w:tcBorders>
            <w:vAlign w:val="center"/>
          </w:tcPr>
          <w:p w:rsidR="00FE21CB" w:rsidRPr="000C7512" w:rsidRDefault="00FE21CB" w:rsidP="00B35511">
            <w:pPr>
              <w:widowControl/>
              <w:autoSpaceDE/>
              <w:autoSpaceDN/>
              <w:spacing w:line="276" w:lineRule="auto"/>
              <w:rPr>
                <w:color w:val="000000"/>
                <w:sz w:val="24"/>
                <w:szCs w:val="24"/>
              </w:rPr>
            </w:pPr>
            <w:r w:rsidRPr="000C7512">
              <w:rPr>
                <w:color w:val="000000"/>
                <w:sz w:val="24"/>
                <w:szCs w:val="24"/>
              </w:rPr>
              <w:t>Kramat Utara</w:t>
            </w:r>
          </w:p>
        </w:tc>
        <w:tc>
          <w:tcPr>
            <w:tcW w:w="2007" w:type="dxa"/>
            <w:tcBorders>
              <w:top w:val="single" w:sz="4" w:space="0" w:color="auto"/>
              <w:left w:val="single" w:sz="4" w:space="0" w:color="auto"/>
              <w:bottom w:val="single" w:sz="4" w:space="0" w:color="auto"/>
              <w:right w:val="single" w:sz="4" w:space="0" w:color="auto"/>
            </w:tcBorders>
            <w:vAlign w:val="center"/>
          </w:tcPr>
          <w:p w:rsidR="00FE21CB" w:rsidRPr="000C7512" w:rsidRDefault="00FE21CB" w:rsidP="00B35511">
            <w:pPr>
              <w:widowControl/>
              <w:autoSpaceDE/>
              <w:autoSpaceDN/>
              <w:spacing w:line="276" w:lineRule="auto"/>
              <w:jc w:val="center"/>
              <w:rPr>
                <w:color w:val="000000"/>
                <w:sz w:val="24"/>
                <w:szCs w:val="24"/>
              </w:rPr>
            </w:pPr>
            <w:r w:rsidRPr="000C7512">
              <w:rPr>
                <w:color w:val="000000"/>
                <w:sz w:val="24"/>
                <w:szCs w:val="24"/>
              </w:rPr>
              <w:t>2</w:t>
            </w:r>
          </w:p>
        </w:tc>
      </w:tr>
      <w:tr w:rsidR="00FE21CB" w:rsidRPr="000C7512" w:rsidTr="00B35511">
        <w:trPr>
          <w:trHeight w:val="170"/>
          <w:jc w:val="center"/>
        </w:trPr>
        <w:tc>
          <w:tcPr>
            <w:tcW w:w="2830" w:type="dxa"/>
            <w:tcBorders>
              <w:top w:val="single" w:sz="4" w:space="0" w:color="auto"/>
              <w:left w:val="single" w:sz="4" w:space="0" w:color="auto"/>
              <w:bottom w:val="single" w:sz="4" w:space="0" w:color="auto"/>
              <w:right w:val="single" w:sz="4" w:space="0" w:color="auto"/>
            </w:tcBorders>
            <w:vAlign w:val="center"/>
          </w:tcPr>
          <w:p w:rsidR="00FE21CB" w:rsidRPr="000C7512" w:rsidRDefault="00FE21CB" w:rsidP="00B35511">
            <w:pPr>
              <w:widowControl/>
              <w:autoSpaceDE/>
              <w:autoSpaceDN/>
              <w:spacing w:line="276" w:lineRule="auto"/>
              <w:rPr>
                <w:color w:val="000000"/>
                <w:sz w:val="24"/>
                <w:szCs w:val="24"/>
              </w:rPr>
            </w:pPr>
            <w:r w:rsidRPr="000C7512">
              <w:rPr>
                <w:color w:val="000000"/>
                <w:sz w:val="24"/>
                <w:szCs w:val="24"/>
              </w:rPr>
              <w:t>Kramat Selatan</w:t>
            </w:r>
          </w:p>
        </w:tc>
        <w:tc>
          <w:tcPr>
            <w:tcW w:w="2007" w:type="dxa"/>
            <w:tcBorders>
              <w:top w:val="single" w:sz="4" w:space="0" w:color="auto"/>
              <w:left w:val="single" w:sz="4" w:space="0" w:color="auto"/>
              <w:bottom w:val="single" w:sz="4" w:space="0" w:color="auto"/>
              <w:right w:val="single" w:sz="4" w:space="0" w:color="auto"/>
            </w:tcBorders>
            <w:vAlign w:val="center"/>
          </w:tcPr>
          <w:p w:rsidR="00FE21CB" w:rsidRPr="000C7512" w:rsidRDefault="00FE21CB" w:rsidP="00B35511">
            <w:pPr>
              <w:widowControl/>
              <w:autoSpaceDE/>
              <w:autoSpaceDN/>
              <w:spacing w:line="276" w:lineRule="auto"/>
              <w:jc w:val="center"/>
              <w:rPr>
                <w:color w:val="000000"/>
                <w:sz w:val="24"/>
                <w:szCs w:val="24"/>
              </w:rPr>
            </w:pPr>
            <w:r w:rsidRPr="000C7512">
              <w:rPr>
                <w:color w:val="000000"/>
                <w:sz w:val="24"/>
                <w:szCs w:val="24"/>
              </w:rPr>
              <w:t>4</w:t>
            </w:r>
          </w:p>
        </w:tc>
      </w:tr>
      <w:tr w:rsidR="00FE21CB" w:rsidRPr="000C7512" w:rsidTr="00B35511">
        <w:trPr>
          <w:trHeight w:val="170"/>
          <w:jc w:val="center"/>
        </w:trPr>
        <w:tc>
          <w:tcPr>
            <w:tcW w:w="2830" w:type="dxa"/>
            <w:tcBorders>
              <w:top w:val="single" w:sz="4" w:space="0" w:color="auto"/>
              <w:left w:val="single" w:sz="4" w:space="0" w:color="auto"/>
              <w:bottom w:val="single" w:sz="4" w:space="0" w:color="auto"/>
              <w:right w:val="single" w:sz="4" w:space="0" w:color="auto"/>
            </w:tcBorders>
            <w:vAlign w:val="center"/>
          </w:tcPr>
          <w:p w:rsidR="00FE21CB" w:rsidRPr="000C7512" w:rsidRDefault="00FE21CB" w:rsidP="00B35511">
            <w:pPr>
              <w:widowControl/>
              <w:autoSpaceDE/>
              <w:autoSpaceDN/>
              <w:spacing w:line="276" w:lineRule="auto"/>
              <w:jc w:val="right"/>
              <w:rPr>
                <w:color w:val="000000"/>
                <w:sz w:val="24"/>
                <w:szCs w:val="24"/>
              </w:rPr>
            </w:pPr>
            <w:r w:rsidRPr="000C7512">
              <w:rPr>
                <w:color w:val="000000"/>
                <w:sz w:val="24"/>
                <w:szCs w:val="24"/>
              </w:rPr>
              <w:t>Jumlah</w:t>
            </w:r>
          </w:p>
        </w:tc>
        <w:tc>
          <w:tcPr>
            <w:tcW w:w="2007" w:type="dxa"/>
            <w:tcBorders>
              <w:top w:val="single" w:sz="4" w:space="0" w:color="auto"/>
              <w:left w:val="single" w:sz="4" w:space="0" w:color="auto"/>
              <w:bottom w:val="single" w:sz="4" w:space="0" w:color="auto"/>
              <w:right w:val="single" w:sz="4" w:space="0" w:color="auto"/>
            </w:tcBorders>
            <w:vAlign w:val="center"/>
          </w:tcPr>
          <w:p w:rsidR="00FE21CB" w:rsidRPr="000C7512" w:rsidRDefault="00FE21CB" w:rsidP="00B35511">
            <w:pPr>
              <w:widowControl/>
              <w:autoSpaceDE/>
              <w:autoSpaceDN/>
              <w:spacing w:line="276" w:lineRule="auto"/>
              <w:jc w:val="center"/>
              <w:rPr>
                <w:color w:val="000000"/>
                <w:sz w:val="24"/>
                <w:szCs w:val="24"/>
              </w:rPr>
            </w:pPr>
            <w:r w:rsidRPr="000C7512">
              <w:rPr>
                <w:color w:val="000000"/>
                <w:sz w:val="24"/>
                <w:szCs w:val="24"/>
              </w:rPr>
              <w:t>14</w:t>
            </w:r>
          </w:p>
        </w:tc>
      </w:tr>
      <w:tr w:rsidR="00FE21CB" w:rsidRPr="000C7512" w:rsidTr="00B35511">
        <w:trPr>
          <w:trHeight w:val="170"/>
          <w:jc w:val="center"/>
        </w:trPr>
        <w:tc>
          <w:tcPr>
            <w:tcW w:w="2830" w:type="dxa"/>
            <w:vAlign w:val="center"/>
          </w:tcPr>
          <w:p w:rsidR="00FE21CB" w:rsidRPr="000C7512" w:rsidRDefault="00FE21CB" w:rsidP="00B35511">
            <w:pPr>
              <w:widowControl/>
              <w:autoSpaceDE/>
              <w:autoSpaceDN/>
              <w:spacing w:line="276" w:lineRule="auto"/>
              <w:rPr>
                <w:color w:val="000000"/>
                <w:sz w:val="24"/>
                <w:szCs w:val="24"/>
              </w:rPr>
            </w:pPr>
            <w:r w:rsidRPr="000C7512">
              <w:rPr>
                <w:color w:val="000000"/>
                <w:sz w:val="24"/>
                <w:szCs w:val="24"/>
              </w:rPr>
              <w:t>Magelang Tengah</w:t>
            </w:r>
          </w:p>
        </w:tc>
        <w:tc>
          <w:tcPr>
            <w:tcW w:w="2007" w:type="dxa"/>
            <w:vAlign w:val="center"/>
          </w:tcPr>
          <w:p w:rsidR="00FE21CB" w:rsidRPr="000C7512" w:rsidRDefault="00FE21CB" w:rsidP="00B35511">
            <w:pPr>
              <w:widowControl/>
              <w:autoSpaceDE/>
              <w:autoSpaceDN/>
              <w:spacing w:line="276" w:lineRule="auto"/>
              <w:jc w:val="center"/>
              <w:rPr>
                <w:color w:val="000000"/>
                <w:sz w:val="24"/>
                <w:szCs w:val="24"/>
              </w:rPr>
            </w:pPr>
            <w:r w:rsidRPr="000C7512">
              <w:rPr>
                <w:color w:val="000000"/>
                <w:sz w:val="24"/>
                <w:szCs w:val="24"/>
              </w:rPr>
              <w:t>KSP/KSPPS</w:t>
            </w:r>
          </w:p>
        </w:tc>
      </w:tr>
      <w:tr w:rsidR="00FE21CB" w:rsidRPr="000C7512" w:rsidTr="00B35511">
        <w:trPr>
          <w:trHeight w:val="170"/>
          <w:jc w:val="center"/>
        </w:trPr>
        <w:tc>
          <w:tcPr>
            <w:tcW w:w="2830" w:type="dxa"/>
            <w:vAlign w:val="center"/>
          </w:tcPr>
          <w:p w:rsidR="00FE21CB" w:rsidRPr="000C7512" w:rsidRDefault="00FE21CB" w:rsidP="00B35511">
            <w:pPr>
              <w:spacing w:line="276" w:lineRule="auto"/>
              <w:jc w:val="both"/>
              <w:rPr>
                <w:sz w:val="24"/>
                <w:szCs w:val="24"/>
              </w:rPr>
            </w:pPr>
            <w:r w:rsidRPr="000C7512">
              <w:rPr>
                <w:sz w:val="24"/>
                <w:szCs w:val="24"/>
              </w:rPr>
              <w:t>Kemirirejo</w:t>
            </w:r>
          </w:p>
        </w:tc>
        <w:tc>
          <w:tcPr>
            <w:tcW w:w="2007" w:type="dxa"/>
            <w:vAlign w:val="center"/>
          </w:tcPr>
          <w:p w:rsidR="00FE21CB" w:rsidRPr="000C7512" w:rsidRDefault="00FE21CB" w:rsidP="00B35511">
            <w:pPr>
              <w:spacing w:line="276" w:lineRule="auto"/>
              <w:jc w:val="center"/>
              <w:rPr>
                <w:sz w:val="24"/>
                <w:szCs w:val="24"/>
              </w:rPr>
            </w:pPr>
            <w:r w:rsidRPr="000C7512">
              <w:rPr>
                <w:sz w:val="24"/>
                <w:szCs w:val="24"/>
              </w:rPr>
              <w:t>6</w:t>
            </w:r>
          </w:p>
        </w:tc>
      </w:tr>
      <w:tr w:rsidR="00FE21CB" w:rsidRPr="000C7512" w:rsidTr="00B35511">
        <w:trPr>
          <w:trHeight w:val="170"/>
          <w:jc w:val="center"/>
        </w:trPr>
        <w:tc>
          <w:tcPr>
            <w:tcW w:w="2830" w:type="dxa"/>
            <w:vAlign w:val="center"/>
          </w:tcPr>
          <w:p w:rsidR="00FE21CB" w:rsidRPr="000C7512" w:rsidRDefault="00FE21CB" w:rsidP="00B35511">
            <w:pPr>
              <w:spacing w:line="276" w:lineRule="auto"/>
              <w:jc w:val="both"/>
              <w:rPr>
                <w:sz w:val="24"/>
                <w:szCs w:val="24"/>
              </w:rPr>
            </w:pPr>
            <w:r w:rsidRPr="000C7512">
              <w:rPr>
                <w:sz w:val="24"/>
                <w:szCs w:val="24"/>
              </w:rPr>
              <w:t>Cacaban</w:t>
            </w:r>
          </w:p>
        </w:tc>
        <w:tc>
          <w:tcPr>
            <w:tcW w:w="2007" w:type="dxa"/>
            <w:vAlign w:val="center"/>
          </w:tcPr>
          <w:p w:rsidR="00FE21CB" w:rsidRPr="000C7512" w:rsidRDefault="00FE21CB" w:rsidP="00B35511">
            <w:pPr>
              <w:spacing w:line="276" w:lineRule="auto"/>
              <w:jc w:val="center"/>
              <w:rPr>
                <w:sz w:val="24"/>
                <w:szCs w:val="24"/>
              </w:rPr>
            </w:pPr>
            <w:r w:rsidRPr="000C7512">
              <w:rPr>
                <w:sz w:val="24"/>
                <w:szCs w:val="24"/>
              </w:rPr>
              <w:t>3</w:t>
            </w:r>
          </w:p>
        </w:tc>
      </w:tr>
      <w:tr w:rsidR="00FE21CB" w:rsidRPr="000C7512" w:rsidTr="00B35511">
        <w:trPr>
          <w:trHeight w:val="170"/>
          <w:jc w:val="center"/>
        </w:trPr>
        <w:tc>
          <w:tcPr>
            <w:tcW w:w="2830" w:type="dxa"/>
            <w:vAlign w:val="center"/>
          </w:tcPr>
          <w:p w:rsidR="00FE21CB" w:rsidRPr="000C7512" w:rsidRDefault="00FE21CB" w:rsidP="00B35511">
            <w:pPr>
              <w:spacing w:line="276" w:lineRule="auto"/>
              <w:jc w:val="both"/>
              <w:rPr>
                <w:sz w:val="24"/>
                <w:szCs w:val="24"/>
              </w:rPr>
            </w:pPr>
            <w:r w:rsidRPr="000C7512">
              <w:rPr>
                <w:sz w:val="24"/>
                <w:szCs w:val="24"/>
              </w:rPr>
              <w:t>Rejowinangun Utara</w:t>
            </w:r>
          </w:p>
        </w:tc>
        <w:tc>
          <w:tcPr>
            <w:tcW w:w="2007" w:type="dxa"/>
            <w:vAlign w:val="center"/>
          </w:tcPr>
          <w:p w:rsidR="00FE21CB" w:rsidRPr="000C7512" w:rsidRDefault="00FE21CB" w:rsidP="00B35511">
            <w:pPr>
              <w:spacing w:line="276" w:lineRule="auto"/>
              <w:jc w:val="center"/>
              <w:rPr>
                <w:sz w:val="24"/>
                <w:szCs w:val="24"/>
              </w:rPr>
            </w:pPr>
            <w:r w:rsidRPr="000C7512">
              <w:rPr>
                <w:sz w:val="24"/>
                <w:szCs w:val="24"/>
              </w:rPr>
              <w:t>0</w:t>
            </w:r>
          </w:p>
        </w:tc>
      </w:tr>
      <w:tr w:rsidR="00FE21CB" w:rsidRPr="000C7512" w:rsidTr="00B35511">
        <w:trPr>
          <w:trHeight w:val="170"/>
          <w:jc w:val="center"/>
        </w:trPr>
        <w:tc>
          <w:tcPr>
            <w:tcW w:w="2830" w:type="dxa"/>
            <w:vAlign w:val="center"/>
          </w:tcPr>
          <w:p w:rsidR="00FE21CB" w:rsidRPr="000C7512" w:rsidRDefault="00FE21CB" w:rsidP="00B35511">
            <w:pPr>
              <w:spacing w:line="276" w:lineRule="auto"/>
              <w:jc w:val="both"/>
              <w:rPr>
                <w:sz w:val="24"/>
                <w:szCs w:val="24"/>
              </w:rPr>
            </w:pPr>
            <w:r w:rsidRPr="000C7512">
              <w:rPr>
                <w:sz w:val="24"/>
                <w:szCs w:val="24"/>
              </w:rPr>
              <w:t>Magelang</w:t>
            </w:r>
          </w:p>
        </w:tc>
        <w:tc>
          <w:tcPr>
            <w:tcW w:w="2007" w:type="dxa"/>
            <w:vAlign w:val="center"/>
          </w:tcPr>
          <w:p w:rsidR="00FE21CB" w:rsidRPr="000C7512" w:rsidRDefault="00FE21CB" w:rsidP="00B35511">
            <w:pPr>
              <w:spacing w:line="276" w:lineRule="auto"/>
              <w:jc w:val="center"/>
              <w:rPr>
                <w:sz w:val="24"/>
                <w:szCs w:val="24"/>
              </w:rPr>
            </w:pPr>
            <w:r w:rsidRPr="000C7512">
              <w:rPr>
                <w:sz w:val="24"/>
                <w:szCs w:val="24"/>
              </w:rPr>
              <w:t>0</w:t>
            </w:r>
          </w:p>
        </w:tc>
      </w:tr>
      <w:tr w:rsidR="00FE21CB" w:rsidRPr="000C7512" w:rsidTr="00B35511">
        <w:trPr>
          <w:trHeight w:val="170"/>
          <w:jc w:val="center"/>
        </w:trPr>
        <w:tc>
          <w:tcPr>
            <w:tcW w:w="2830" w:type="dxa"/>
            <w:vAlign w:val="center"/>
          </w:tcPr>
          <w:p w:rsidR="00FE21CB" w:rsidRPr="000C7512" w:rsidRDefault="00FE21CB" w:rsidP="00B35511">
            <w:pPr>
              <w:spacing w:line="276" w:lineRule="auto"/>
              <w:jc w:val="both"/>
              <w:rPr>
                <w:sz w:val="24"/>
                <w:szCs w:val="24"/>
              </w:rPr>
            </w:pPr>
            <w:r w:rsidRPr="000C7512">
              <w:rPr>
                <w:sz w:val="24"/>
                <w:szCs w:val="24"/>
              </w:rPr>
              <w:t>Panjang</w:t>
            </w:r>
          </w:p>
        </w:tc>
        <w:tc>
          <w:tcPr>
            <w:tcW w:w="2007" w:type="dxa"/>
            <w:vAlign w:val="center"/>
          </w:tcPr>
          <w:p w:rsidR="00FE21CB" w:rsidRPr="000C7512" w:rsidRDefault="00FE21CB" w:rsidP="00B35511">
            <w:pPr>
              <w:spacing w:line="276" w:lineRule="auto"/>
              <w:jc w:val="center"/>
              <w:rPr>
                <w:sz w:val="24"/>
                <w:szCs w:val="24"/>
              </w:rPr>
            </w:pPr>
            <w:r w:rsidRPr="000C7512">
              <w:rPr>
                <w:sz w:val="24"/>
                <w:szCs w:val="24"/>
              </w:rPr>
              <w:t>2</w:t>
            </w:r>
          </w:p>
        </w:tc>
      </w:tr>
      <w:tr w:rsidR="00FE21CB" w:rsidRPr="000C7512" w:rsidTr="00B35511">
        <w:trPr>
          <w:trHeight w:val="170"/>
          <w:jc w:val="center"/>
        </w:trPr>
        <w:tc>
          <w:tcPr>
            <w:tcW w:w="2830" w:type="dxa"/>
            <w:tcBorders>
              <w:top w:val="single" w:sz="4" w:space="0" w:color="auto"/>
              <w:left w:val="single" w:sz="4" w:space="0" w:color="auto"/>
              <w:bottom w:val="single" w:sz="4" w:space="0" w:color="auto"/>
              <w:right w:val="single" w:sz="4" w:space="0" w:color="auto"/>
            </w:tcBorders>
            <w:vAlign w:val="center"/>
          </w:tcPr>
          <w:p w:rsidR="00FE21CB" w:rsidRPr="000C7512" w:rsidRDefault="00FE21CB" w:rsidP="00B35511">
            <w:pPr>
              <w:spacing w:line="276" w:lineRule="auto"/>
              <w:jc w:val="both"/>
              <w:rPr>
                <w:sz w:val="24"/>
                <w:szCs w:val="24"/>
              </w:rPr>
            </w:pPr>
            <w:r w:rsidRPr="000C7512">
              <w:rPr>
                <w:sz w:val="24"/>
                <w:szCs w:val="24"/>
              </w:rPr>
              <w:t>Gelangan</w:t>
            </w:r>
          </w:p>
        </w:tc>
        <w:tc>
          <w:tcPr>
            <w:tcW w:w="2007" w:type="dxa"/>
            <w:tcBorders>
              <w:top w:val="single" w:sz="4" w:space="0" w:color="auto"/>
              <w:left w:val="single" w:sz="4" w:space="0" w:color="auto"/>
              <w:bottom w:val="single" w:sz="4" w:space="0" w:color="auto"/>
              <w:right w:val="single" w:sz="4" w:space="0" w:color="auto"/>
            </w:tcBorders>
            <w:vAlign w:val="center"/>
          </w:tcPr>
          <w:p w:rsidR="00FE21CB" w:rsidRPr="000C7512" w:rsidRDefault="00FE21CB" w:rsidP="00B35511">
            <w:pPr>
              <w:spacing w:line="276" w:lineRule="auto"/>
              <w:jc w:val="center"/>
              <w:rPr>
                <w:sz w:val="24"/>
                <w:szCs w:val="24"/>
              </w:rPr>
            </w:pPr>
            <w:r w:rsidRPr="000C7512">
              <w:rPr>
                <w:sz w:val="24"/>
                <w:szCs w:val="24"/>
              </w:rPr>
              <w:t>1</w:t>
            </w:r>
          </w:p>
        </w:tc>
      </w:tr>
      <w:tr w:rsidR="00FE21CB" w:rsidRPr="000C7512" w:rsidTr="00B35511">
        <w:trPr>
          <w:trHeight w:val="170"/>
          <w:jc w:val="center"/>
        </w:trPr>
        <w:tc>
          <w:tcPr>
            <w:tcW w:w="2830" w:type="dxa"/>
            <w:tcBorders>
              <w:top w:val="single" w:sz="4" w:space="0" w:color="auto"/>
              <w:left w:val="single" w:sz="4" w:space="0" w:color="auto"/>
              <w:bottom w:val="single" w:sz="4" w:space="0" w:color="auto"/>
              <w:right w:val="single" w:sz="4" w:space="0" w:color="auto"/>
            </w:tcBorders>
            <w:vAlign w:val="center"/>
          </w:tcPr>
          <w:p w:rsidR="00FE21CB" w:rsidRPr="000C7512" w:rsidRDefault="00FE21CB" w:rsidP="00B35511">
            <w:pPr>
              <w:spacing w:line="276" w:lineRule="auto"/>
              <w:jc w:val="right"/>
              <w:rPr>
                <w:sz w:val="24"/>
                <w:szCs w:val="24"/>
              </w:rPr>
            </w:pPr>
            <w:r w:rsidRPr="000C7512">
              <w:rPr>
                <w:sz w:val="24"/>
                <w:szCs w:val="24"/>
              </w:rPr>
              <w:t>Jumlah</w:t>
            </w:r>
          </w:p>
        </w:tc>
        <w:tc>
          <w:tcPr>
            <w:tcW w:w="2007" w:type="dxa"/>
            <w:tcBorders>
              <w:top w:val="single" w:sz="4" w:space="0" w:color="auto"/>
              <w:left w:val="single" w:sz="4" w:space="0" w:color="auto"/>
              <w:bottom w:val="single" w:sz="4" w:space="0" w:color="auto"/>
              <w:right w:val="single" w:sz="4" w:space="0" w:color="auto"/>
            </w:tcBorders>
            <w:vAlign w:val="center"/>
          </w:tcPr>
          <w:p w:rsidR="00FE21CB" w:rsidRPr="000C7512" w:rsidRDefault="00FE21CB" w:rsidP="00B35511">
            <w:pPr>
              <w:spacing w:line="276" w:lineRule="auto"/>
              <w:jc w:val="center"/>
              <w:rPr>
                <w:sz w:val="24"/>
                <w:szCs w:val="24"/>
              </w:rPr>
            </w:pPr>
            <w:r w:rsidRPr="000C7512">
              <w:rPr>
                <w:sz w:val="24"/>
                <w:szCs w:val="24"/>
              </w:rPr>
              <w:t>12</w:t>
            </w:r>
          </w:p>
        </w:tc>
      </w:tr>
    </w:tbl>
    <w:p w:rsidR="00FE21CB" w:rsidRPr="000C7512" w:rsidRDefault="00FE21CB" w:rsidP="00FE21CB">
      <w:pPr>
        <w:spacing w:line="360" w:lineRule="auto"/>
        <w:ind w:firstLine="426"/>
        <w:jc w:val="both"/>
        <w:rPr>
          <w:sz w:val="24"/>
          <w:szCs w:val="24"/>
        </w:rPr>
      </w:pPr>
    </w:p>
    <w:p w:rsidR="00FE21CB" w:rsidRPr="000C7512" w:rsidRDefault="00FE21CB" w:rsidP="00FE21CB">
      <w:pPr>
        <w:spacing w:line="360" w:lineRule="auto"/>
        <w:jc w:val="both"/>
        <w:rPr>
          <w:sz w:val="24"/>
          <w:szCs w:val="24"/>
        </w:rPr>
      </w:pPr>
    </w:p>
    <w:p w:rsidR="009B7FD2" w:rsidRPr="000C7512" w:rsidRDefault="008E2D21" w:rsidP="00FE21CB">
      <w:pPr>
        <w:spacing w:line="360" w:lineRule="auto"/>
        <w:ind w:firstLine="426"/>
        <w:jc w:val="both"/>
        <w:rPr>
          <w:sz w:val="24"/>
          <w:szCs w:val="24"/>
        </w:rPr>
      </w:pPr>
      <w:r w:rsidRPr="000C7512">
        <w:rPr>
          <w:sz w:val="24"/>
          <w:szCs w:val="24"/>
          <w:lang w:val="id-ID"/>
        </w:rPr>
        <w:t xml:space="preserve">Menurut data </w:t>
      </w:r>
      <w:r w:rsidR="00BA5B9B" w:rsidRPr="000C7512">
        <w:rPr>
          <w:sz w:val="24"/>
          <w:szCs w:val="24"/>
        </w:rPr>
        <w:t xml:space="preserve">yang dipublikasikan oleh Badan Pusat Statistik Kota </w:t>
      </w:r>
      <w:r w:rsidR="00360AD3" w:rsidRPr="000C7512">
        <w:rPr>
          <w:sz w:val="24"/>
          <w:szCs w:val="24"/>
        </w:rPr>
        <w:t>M</w:t>
      </w:r>
      <w:r w:rsidR="00BA5B9B" w:rsidRPr="000C7512">
        <w:rPr>
          <w:sz w:val="24"/>
          <w:szCs w:val="24"/>
        </w:rPr>
        <w:t>agelang bahwa jumlah koperasi yang ada di Kota Magelang berjumlah 41 buah, baik KSP maupun KSPPS</w:t>
      </w:r>
      <w:r w:rsidR="00FE21CB">
        <w:rPr>
          <w:rStyle w:val="FootnoteReference"/>
          <w:sz w:val="24"/>
          <w:szCs w:val="24"/>
        </w:rPr>
        <w:fldChar w:fldCharType="begin" w:fldLock="1"/>
      </w:r>
      <w:r w:rsidR="00FE21CB">
        <w:rPr>
          <w:sz w:val="24"/>
          <w:szCs w:val="24"/>
        </w:rPr>
        <w:instrText>ADDIN CSL_CITATION {"citationItems":[{"id":"ITEM-1","itemData":{"URL":"http://data.magelangkota.go.id/dataset/koperasi-di-kota-magelang-menurut-wilayah-di-kota-magelang/resource/749d02d6-e064-47c9-a5e4-253caa08f7d0","accessed":{"date-parts":[["2020","5","14"]]},"author":[{"dropping-particle":"","family":"Dinas Komunikasi Informatika dan Statistik Kota Magelang","given":"","non-dropping-particle":"","parse-names":false,"suffix":""}],"container-title":"http://data.magelangkota.go.id/","id":"ITEM-1","issued":{"date-parts":[["2020"]]},"publisher-place":"Kota Magelang","title":"Koperasi di Kota Magelang Menurut Wilayah","type":"webpage"},"uris":["http://www.mendeley.com/documents/?uuid=e343dc82-b9a8-41b9-a738-fe7b3f9c0fe7"]}],"mendeley":{"formattedCitation":"(Dinas Komunikasi Informatika dan Statistik Kota Magelang, 2020)","plainTextFormattedCitation":"(Dinas Komunikasi Informatika dan Statistik Kota Magelang, 2020)","previouslyFormattedCitation":"Dinas Komunikasi Informatika dan Statistik Kota Magelang, ‘Koperasi Di Kota Magelang Menurut Wilayah’, &lt;i&gt;Http://Data.Magelangkota.Go.Id/&lt;/i&gt; (Kota Magelang, 2020) &lt;http://data.magelangkota.go.id/dataset/koperasi-di-kota-magelang-menurut-wilayah-di-kota-magelang/resource/749d02d6-e064-47c9-a5e4-253caa08f7d0&gt; [accessed 14 May 2020]."},"properties":{"noteIndex":0},"schema":"https://github.com/citation-style-language/schema/raw/master/csl-citation.json"}</w:instrText>
      </w:r>
      <w:r w:rsidR="00FE21CB">
        <w:rPr>
          <w:rStyle w:val="FootnoteReference"/>
          <w:sz w:val="24"/>
          <w:szCs w:val="24"/>
        </w:rPr>
        <w:fldChar w:fldCharType="separate"/>
      </w:r>
      <w:r w:rsidR="00FE21CB" w:rsidRPr="00FE21CB">
        <w:rPr>
          <w:noProof/>
          <w:sz w:val="24"/>
          <w:szCs w:val="24"/>
        </w:rPr>
        <w:t>(Dinas Komunikasi Informatika dan Statistik Kota Magelang, 2020)</w:t>
      </w:r>
      <w:r w:rsidR="00FE21CB">
        <w:rPr>
          <w:rStyle w:val="FootnoteReference"/>
          <w:sz w:val="24"/>
          <w:szCs w:val="24"/>
        </w:rPr>
        <w:fldChar w:fldCharType="end"/>
      </w:r>
      <w:r w:rsidR="00BA5B9B" w:rsidRPr="000C7512">
        <w:rPr>
          <w:sz w:val="24"/>
          <w:szCs w:val="24"/>
        </w:rPr>
        <w:t xml:space="preserve">. </w:t>
      </w:r>
      <w:r w:rsidR="00936114" w:rsidRPr="000C7512">
        <w:rPr>
          <w:sz w:val="24"/>
          <w:szCs w:val="24"/>
        </w:rPr>
        <w:t xml:space="preserve">Sementara untuk keanggotaan KSP/KSPPS hingga tahun 2019 berjumlah 57.558 </w:t>
      </w:r>
      <w:r w:rsidR="003A526B" w:rsidRPr="000C7512">
        <w:rPr>
          <w:sz w:val="24"/>
          <w:szCs w:val="24"/>
        </w:rPr>
        <w:t xml:space="preserve">orang </w:t>
      </w:r>
      <w:r w:rsidR="00936114" w:rsidRPr="000C7512">
        <w:rPr>
          <w:sz w:val="24"/>
          <w:szCs w:val="24"/>
        </w:rPr>
        <w:t>dengan karyawan sebanyak 369</w:t>
      </w:r>
      <w:r w:rsidR="003A526B" w:rsidRPr="000C7512">
        <w:rPr>
          <w:sz w:val="24"/>
          <w:szCs w:val="24"/>
        </w:rPr>
        <w:t xml:space="preserve"> orang</w:t>
      </w:r>
      <w:r w:rsidR="00936114" w:rsidRPr="000C7512">
        <w:rPr>
          <w:sz w:val="24"/>
          <w:szCs w:val="24"/>
        </w:rPr>
        <w:t>. Sedangkan untuk KJKS/UJKS berjumlah 14 buah dengan juml</w:t>
      </w:r>
      <w:r w:rsidR="003A526B" w:rsidRPr="000C7512">
        <w:rPr>
          <w:sz w:val="24"/>
          <w:szCs w:val="24"/>
        </w:rPr>
        <w:t>a</w:t>
      </w:r>
      <w:r w:rsidR="00936114" w:rsidRPr="000C7512">
        <w:rPr>
          <w:sz w:val="24"/>
          <w:szCs w:val="24"/>
        </w:rPr>
        <w:t xml:space="preserve">h karyawan 84 orang, sementara jumlah anggota sebanyak </w:t>
      </w:r>
      <w:r w:rsidR="00F345FF" w:rsidRPr="000C7512">
        <w:rPr>
          <w:sz w:val="24"/>
          <w:szCs w:val="24"/>
        </w:rPr>
        <w:t>25.041orang</w:t>
      </w:r>
      <w:r w:rsidR="00FE21CB">
        <w:rPr>
          <w:rStyle w:val="FootnoteReference"/>
          <w:sz w:val="24"/>
          <w:szCs w:val="24"/>
        </w:rPr>
        <w:fldChar w:fldCharType="begin" w:fldLock="1"/>
      </w:r>
      <w:r w:rsidR="00FE21CB">
        <w:rPr>
          <w:sz w:val="24"/>
          <w:szCs w:val="24"/>
        </w:rPr>
        <w:instrText>ADDIN CSL_CITATION {"citationItems":[{"id":"ITEM-1","itemData":{"URL":"http://datago.magelangkota.go.id/frontend/mod_elibrary/docs/books/7/7_72438665_data_strategis_kota_magelang_tahun_2019.pdf","accessed":{"date-parts":[["2020","5","14"]]},"author":[{"dropping-particle":"","family":"Dinas Komunikasi Informatika dan Statistik Kota Magelang","given":"","non-dropping-particle":"","parse-names":false,"suffix":""}],"id":"ITEM-1","issued":{"date-parts":[["2019"]]},"page":"datago.magelangkota.go.id","publisher-place":"Magelang","title":"Data Strategis Kota Magelang 2019","type":"webpage"},"uris":["http://www.mendeley.com/documents/?uuid=34ba7e09-a14f-4ee5-ab6d-34da99fcd932"]}],"mendeley":{"formattedCitation":"(Dinas Komunikasi Informatika dan Statistik Kota Magelang, 2019)","plainTextFormattedCitation":"(Dinas Komunikasi Informatika dan Statistik Kota Magelang, 2019)","previouslyFormattedCitation":"Dinas Komunikasi Informatika dan Statistik Kota Magelang, ‘Data Strategis Kota Magelang 2019’ (Magelang, 2019), p. datago.magelangkota.go.id &lt;http://datago.magelangkota.go.id/frontend/mod_elibrary/docs/books/7/7_72438665_data_strategis_kota_magelang_tahun_2019.pdf&gt; [accessed 14 May 2020]."},"properties":{"noteIndex":0},"schema":"https://github.com/citation-style-language/schema/raw/master/csl-citation.json"}</w:instrText>
      </w:r>
      <w:r w:rsidR="00FE21CB">
        <w:rPr>
          <w:rStyle w:val="FootnoteReference"/>
          <w:sz w:val="24"/>
          <w:szCs w:val="24"/>
        </w:rPr>
        <w:fldChar w:fldCharType="separate"/>
      </w:r>
      <w:r w:rsidR="00FE21CB" w:rsidRPr="00FE21CB">
        <w:rPr>
          <w:noProof/>
          <w:sz w:val="24"/>
          <w:szCs w:val="24"/>
        </w:rPr>
        <w:t>(Dinas Komunikasi Informatika dan Statistik Kota Magelang, 2019)</w:t>
      </w:r>
      <w:r w:rsidR="00FE21CB">
        <w:rPr>
          <w:rStyle w:val="FootnoteReference"/>
          <w:sz w:val="24"/>
          <w:szCs w:val="24"/>
        </w:rPr>
        <w:fldChar w:fldCharType="end"/>
      </w:r>
      <w:r w:rsidR="00936114" w:rsidRPr="000C7512">
        <w:rPr>
          <w:sz w:val="24"/>
          <w:szCs w:val="24"/>
        </w:rPr>
        <w:t xml:space="preserve">. </w:t>
      </w:r>
      <w:r w:rsidR="007230ED" w:rsidRPr="000C7512">
        <w:rPr>
          <w:sz w:val="24"/>
          <w:szCs w:val="24"/>
        </w:rPr>
        <w:t xml:space="preserve">Data ini menunjukan bahwa keanggotaam koperasi syariah </w:t>
      </w:r>
      <w:r w:rsidR="005B63AC" w:rsidRPr="000C7512">
        <w:rPr>
          <w:sz w:val="24"/>
          <w:szCs w:val="24"/>
        </w:rPr>
        <w:t xml:space="preserve">secara jumlah </w:t>
      </w:r>
      <w:r w:rsidR="007230ED" w:rsidRPr="000C7512">
        <w:rPr>
          <w:sz w:val="24"/>
          <w:szCs w:val="24"/>
        </w:rPr>
        <w:t xml:space="preserve">menyamai koperasi konvensioanl, walaupun dari sisi jumlah lembaga masih 1/3 dari koperasi yang ada. </w:t>
      </w:r>
      <w:r w:rsidR="00976F5F" w:rsidRPr="000C7512">
        <w:rPr>
          <w:sz w:val="24"/>
          <w:szCs w:val="24"/>
        </w:rPr>
        <w:t>S</w:t>
      </w:r>
      <w:r w:rsidRPr="000C7512">
        <w:rPr>
          <w:sz w:val="24"/>
          <w:szCs w:val="24"/>
          <w:lang w:val="id-ID"/>
        </w:rPr>
        <w:t xml:space="preserve">edangkan </w:t>
      </w:r>
      <w:r w:rsidR="007D36F9" w:rsidRPr="000C7512">
        <w:rPr>
          <w:sz w:val="24"/>
          <w:szCs w:val="24"/>
        </w:rPr>
        <w:t xml:space="preserve">berdasarkan data </w:t>
      </w:r>
      <w:r w:rsidR="00936114" w:rsidRPr="000C7512">
        <w:rPr>
          <w:sz w:val="24"/>
          <w:szCs w:val="24"/>
        </w:rPr>
        <w:t>B</w:t>
      </w:r>
      <w:r w:rsidR="007D36F9" w:rsidRPr="000C7512">
        <w:rPr>
          <w:sz w:val="24"/>
          <w:szCs w:val="24"/>
        </w:rPr>
        <w:t xml:space="preserve">adan </w:t>
      </w:r>
      <w:r w:rsidR="00936114" w:rsidRPr="000C7512">
        <w:rPr>
          <w:sz w:val="24"/>
          <w:szCs w:val="24"/>
        </w:rPr>
        <w:t>P</w:t>
      </w:r>
      <w:r w:rsidR="007D36F9" w:rsidRPr="000C7512">
        <w:rPr>
          <w:sz w:val="24"/>
          <w:szCs w:val="24"/>
        </w:rPr>
        <w:t xml:space="preserve">usat </w:t>
      </w:r>
      <w:r w:rsidR="00936114" w:rsidRPr="000C7512">
        <w:rPr>
          <w:sz w:val="24"/>
          <w:szCs w:val="24"/>
        </w:rPr>
        <w:t>S</w:t>
      </w:r>
      <w:r w:rsidR="007D36F9" w:rsidRPr="000C7512">
        <w:rPr>
          <w:sz w:val="24"/>
          <w:szCs w:val="24"/>
        </w:rPr>
        <w:t xml:space="preserve">tatistik </w:t>
      </w:r>
      <w:r w:rsidR="00936114" w:rsidRPr="000C7512">
        <w:rPr>
          <w:sz w:val="24"/>
          <w:szCs w:val="24"/>
        </w:rPr>
        <w:t>K</w:t>
      </w:r>
      <w:r w:rsidR="007D36F9" w:rsidRPr="000C7512">
        <w:rPr>
          <w:sz w:val="24"/>
          <w:szCs w:val="24"/>
        </w:rPr>
        <w:t xml:space="preserve">ota </w:t>
      </w:r>
      <w:r w:rsidR="00936114" w:rsidRPr="000C7512">
        <w:rPr>
          <w:sz w:val="24"/>
          <w:szCs w:val="24"/>
        </w:rPr>
        <w:t>M</w:t>
      </w:r>
      <w:r w:rsidR="007D36F9" w:rsidRPr="000C7512">
        <w:rPr>
          <w:sz w:val="24"/>
          <w:szCs w:val="24"/>
        </w:rPr>
        <w:t>agelang tahun 2020,</w:t>
      </w:r>
      <w:r w:rsidR="007D36F9" w:rsidRPr="000C7512">
        <w:rPr>
          <w:sz w:val="24"/>
          <w:szCs w:val="24"/>
          <w:lang w:val="id-ID"/>
        </w:rPr>
        <w:t xml:space="preserve"> </w:t>
      </w:r>
      <w:r w:rsidR="007D36F9" w:rsidRPr="000C7512">
        <w:rPr>
          <w:sz w:val="24"/>
          <w:szCs w:val="24"/>
        </w:rPr>
        <w:t>bahwa</w:t>
      </w:r>
      <w:r w:rsidR="007D36F9" w:rsidRPr="000C7512">
        <w:rPr>
          <w:sz w:val="24"/>
          <w:szCs w:val="24"/>
          <w:lang w:val="id-ID"/>
        </w:rPr>
        <w:t xml:space="preserve"> Perbankan Syariah</w:t>
      </w:r>
      <w:r w:rsidRPr="000C7512">
        <w:rPr>
          <w:sz w:val="24"/>
          <w:szCs w:val="24"/>
          <w:lang w:val="id-ID"/>
        </w:rPr>
        <w:t xml:space="preserve"> di Kota Magelang </w:t>
      </w:r>
      <w:r w:rsidR="007D36F9" w:rsidRPr="000C7512">
        <w:rPr>
          <w:sz w:val="24"/>
          <w:szCs w:val="24"/>
        </w:rPr>
        <w:t xml:space="preserve">berjumlah </w:t>
      </w:r>
      <w:r w:rsidR="00976F5F" w:rsidRPr="000C7512">
        <w:rPr>
          <w:sz w:val="24"/>
          <w:szCs w:val="24"/>
        </w:rPr>
        <w:t>5 buah</w:t>
      </w:r>
      <w:r w:rsidR="00FE21CB">
        <w:rPr>
          <w:rStyle w:val="FootnoteReference"/>
          <w:sz w:val="24"/>
          <w:szCs w:val="24"/>
        </w:rPr>
        <w:fldChar w:fldCharType="begin" w:fldLock="1"/>
      </w:r>
      <w:r w:rsidR="00FE21CB">
        <w:rPr>
          <w:sz w:val="24"/>
          <w:szCs w:val="24"/>
        </w:rPr>
        <w:instrText>ADDIN CSL_CITATION {"citationItems":[{"id":"ITEM-1","itemData":{"URL":"https://magelangkota.bps.go.id/publication/2020/04/27/f44ed0fa2acf49e2b21eeafc/kota-magelang-dalam-angka-2020.htm","accessed":{"date-parts":[["2020","5","14"]]},"author":[{"dropping-particle":"","family":"Badan Pusat Statistik Kota Magelang","given":"","non-dropping-particle":"","parse-names":false,"suffix":""}],"id":"ITEM-1","issued":{"date-parts":[["2020"]]},"page":"magelangkota.bps.go.id","publisher-place":"Magelang","title":"Kota Magelang Dalam Angka 2020","type":"webpage"},"uris":["http://www.mendeley.com/documents/?uuid=eb5bf83b-3654-45d9-abc1-5a2d1bd81013"]}],"mendeley":{"formattedCitation":"(Badan Pusat Statistik Kota Magelang, 2020)","plainTextFormattedCitation":"(Badan Pusat Statistik Kota Magelang, 2020)","previouslyFormattedCitation":"Badan Pusat Statistik Kota Magelang, ‘Kota Magelang Dalam Angka 2020’ (Magelang, 2020), p. magelangkota.bps.go.id &lt;https://magelangkota.bps.go.id/publication/2020/04/27/f44ed0fa2acf49e2b21eeafc/kota-magelang-dalam-angka-2020.htm&gt; [accessed 14 May 2020]."},"properties":{"noteIndex":0},"schema":"https://github.com/citation-style-language/schema/raw/master/csl-citation.json"}</w:instrText>
      </w:r>
      <w:r w:rsidR="00FE21CB">
        <w:rPr>
          <w:rStyle w:val="FootnoteReference"/>
          <w:sz w:val="24"/>
          <w:szCs w:val="24"/>
        </w:rPr>
        <w:fldChar w:fldCharType="separate"/>
      </w:r>
      <w:r w:rsidR="00FE21CB" w:rsidRPr="00FE21CB">
        <w:rPr>
          <w:noProof/>
          <w:sz w:val="24"/>
          <w:szCs w:val="24"/>
        </w:rPr>
        <w:t>(Badan Pusat Statistik Kota Magelang, 2020)</w:t>
      </w:r>
      <w:r w:rsidR="00FE21CB">
        <w:rPr>
          <w:rStyle w:val="FootnoteReference"/>
          <w:sz w:val="24"/>
          <w:szCs w:val="24"/>
        </w:rPr>
        <w:fldChar w:fldCharType="end"/>
      </w:r>
      <w:r w:rsidR="009B7FD2" w:rsidRPr="000C7512">
        <w:rPr>
          <w:sz w:val="24"/>
          <w:szCs w:val="24"/>
        </w:rPr>
        <w:t>.</w:t>
      </w:r>
    </w:p>
    <w:p w:rsidR="009B7FD2" w:rsidRPr="000C7512" w:rsidRDefault="009B7FD2" w:rsidP="000C7512">
      <w:pPr>
        <w:spacing w:line="360" w:lineRule="auto"/>
        <w:ind w:firstLine="426"/>
        <w:jc w:val="both"/>
        <w:rPr>
          <w:sz w:val="24"/>
          <w:szCs w:val="24"/>
        </w:rPr>
      </w:pPr>
    </w:p>
    <w:p w:rsidR="009B7FD2" w:rsidRPr="000C7512" w:rsidRDefault="009B7FD2" w:rsidP="000C7512">
      <w:pPr>
        <w:pStyle w:val="Heading3"/>
        <w:numPr>
          <w:ilvl w:val="0"/>
          <w:numId w:val="12"/>
        </w:numPr>
        <w:spacing w:line="360" w:lineRule="auto"/>
        <w:jc w:val="both"/>
        <w:rPr>
          <w:rFonts w:ascii="Times New Roman" w:hAnsi="Times New Roman" w:cs="Times New Roman"/>
          <w:b/>
          <w:bCs/>
          <w:color w:val="000000" w:themeColor="text1"/>
        </w:rPr>
      </w:pPr>
      <w:r w:rsidRPr="000C7512">
        <w:rPr>
          <w:rFonts w:ascii="Times New Roman" w:hAnsi="Times New Roman" w:cs="Times New Roman"/>
          <w:b/>
          <w:bCs/>
          <w:color w:val="000000" w:themeColor="text1"/>
          <w:lang w:val="id-ID"/>
        </w:rPr>
        <w:t>Konsep Jaminan</w:t>
      </w:r>
      <w:r w:rsidR="00505A4B" w:rsidRPr="000C7512">
        <w:rPr>
          <w:rFonts w:ascii="Times New Roman" w:hAnsi="Times New Roman" w:cs="Times New Roman"/>
          <w:b/>
          <w:bCs/>
          <w:color w:val="000000" w:themeColor="text1"/>
        </w:rPr>
        <w:t xml:space="preserve"> Benda</w:t>
      </w:r>
    </w:p>
    <w:p w:rsidR="00505A4B" w:rsidRPr="000C7512" w:rsidRDefault="00505A4B" w:rsidP="000C7512">
      <w:pPr>
        <w:spacing w:line="360" w:lineRule="auto"/>
        <w:ind w:firstLine="426"/>
        <w:jc w:val="both"/>
        <w:rPr>
          <w:sz w:val="24"/>
          <w:szCs w:val="24"/>
        </w:rPr>
      </w:pPr>
      <w:r w:rsidRPr="000C7512">
        <w:rPr>
          <w:sz w:val="24"/>
          <w:szCs w:val="24"/>
        </w:rPr>
        <w:t xml:space="preserve">Proses transaksi di lingkungan Lembaga Keuangan Syariah (LKS), dilakukan sebagaimana juga berlaku di lembaga keuangan non syariah, yaitu adanya jaminan dari pihak debitur (peminjam). Jaminan benda baik berupa tanah ataupun benda bergerak oleh debitur (peminjam) untuk memastikan dan meyakinkan kepada pihak kreditur, bahwa debitur nantinya </w:t>
      </w:r>
      <w:proofErr w:type="gramStart"/>
      <w:r w:rsidRPr="000C7512">
        <w:rPr>
          <w:sz w:val="24"/>
          <w:szCs w:val="24"/>
        </w:rPr>
        <w:t>akan</w:t>
      </w:r>
      <w:proofErr w:type="gramEnd"/>
      <w:r w:rsidRPr="000C7512">
        <w:rPr>
          <w:sz w:val="24"/>
          <w:szCs w:val="24"/>
        </w:rPr>
        <w:t xml:space="preserve"> memenuhi kewajiban transaksi itu sesuai dengan ketentuan yang telah disepakti. Ketika pihak debitur telah </w:t>
      </w:r>
      <w:r w:rsidR="00A17F26" w:rsidRPr="000C7512">
        <w:rPr>
          <w:sz w:val="24"/>
          <w:szCs w:val="24"/>
        </w:rPr>
        <w:t>memenuhi kewajibanya</w:t>
      </w:r>
      <w:r w:rsidRPr="000C7512">
        <w:rPr>
          <w:sz w:val="24"/>
          <w:szCs w:val="24"/>
        </w:rPr>
        <w:t xml:space="preserve">, maka pihak kreditur </w:t>
      </w:r>
      <w:proofErr w:type="gramStart"/>
      <w:r w:rsidRPr="000C7512">
        <w:rPr>
          <w:sz w:val="24"/>
          <w:szCs w:val="24"/>
        </w:rPr>
        <w:t>akan</w:t>
      </w:r>
      <w:proofErr w:type="gramEnd"/>
      <w:r w:rsidRPr="000C7512">
        <w:rPr>
          <w:sz w:val="24"/>
          <w:szCs w:val="24"/>
        </w:rPr>
        <w:t xml:space="preserve"> mengembalikan jaminan yang diberikan itu. Tetapi ketika pihak debitur tidak mampu</w:t>
      </w:r>
      <w:r w:rsidR="00A17F26" w:rsidRPr="000C7512">
        <w:rPr>
          <w:sz w:val="24"/>
          <w:szCs w:val="24"/>
        </w:rPr>
        <w:t xml:space="preserve"> memenuhi kewajibanya</w:t>
      </w:r>
      <w:r w:rsidRPr="000C7512">
        <w:rPr>
          <w:sz w:val="24"/>
          <w:szCs w:val="24"/>
        </w:rPr>
        <w:t xml:space="preserve"> atau melakukan wasprestasi, maka pihak kreditur memiliki hak untuk menjual atau menguasai jaminan yang diberikan oleh diebitur itu melalui proses legal. </w:t>
      </w:r>
    </w:p>
    <w:p w:rsidR="009B7FD2" w:rsidRPr="000C7512" w:rsidRDefault="00A17F26" w:rsidP="00FE21CB">
      <w:pPr>
        <w:spacing w:line="360" w:lineRule="auto"/>
        <w:ind w:firstLine="426"/>
        <w:jc w:val="both"/>
        <w:rPr>
          <w:sz w:val="24"/>
          <w:szCs w:val="24"/>
        </w:rPr>
      </w:pPr>
      <w:r w:rsidRPr="000C7512">
        <w:rPr>
          <w:sz w:val="24"/>
          <w:szCs w:val="24"/>
        </w:rPr>
        <w:t xml:space="preserve">Secara hukum, jaminan benda oleh debitur kepeda kreditur ada dua macam, yaitu hak tanggungan atas tanah dan fidusia. </w:t>
      </w:r>
      <w:r w:rsidR="00383F3C" w:rsidRPr="000C7512">
        <w:rPr>
          <w:b/>
          <w:bCs/>
          <w:sz w:val="24"/>
          <w:szCs w:val="24"/>
        </w:rPr>
        <w:t>Pertama</w:t>
      </w:r>
      <w:r w:rsidR="00383F3C" w:rsidRPr="000C7512">
        <w:rPr>
          <w:sz w:val="24"/>
          <w:szCs w:val="24"/>
        </w:rPr>
        <w:t>, h</w:t>
      </w:r>
      <w:r w:rsidRPr="000C7512">
        <w:rPr>
          <w:sz w:val="24"/>
          <w:szCs w:val="24"/>
        </w:rPr>
        <w:t>ak Tanggungan atas tanah</w:t>
      </w:r>
      <w:r w:rsidR="00FE21CB">
        <w:rPr>
          <w:sz w:val="24"/>
          <w:szCs w:val="24"/>
        </w:rPr>
        <w:t xml:space="preserve">. </w:t>
      </w:r>
      <w:r w:rsidRPr="000C7512">
        <w:rPr>
          <w:sz w:val="24"/>
          <w:szCs w:val="24"/>
        </w:rPr>
        <w:t xml:space="preserve"> </w:t>
      </w:r>
      <w:r w:rsidR="00FE21CB" w:rsidRPr="000C7512">
        <w:rPr>
          <w:sz w:val="24"/>
          <w:szCs w:val="24"/>
        </w:rPr>
        <w:t>Hak Tanggungan Atas Tanah</w:t>
      </w:r>
      <w:r w:rsidR="00FE21CB" w:rsidRPr="000C7512">
        <w:rPr>
          <w:sz w:val="24"/>
          <w:szCs w:val="24"/>
        </w:rPr>
        <w:t xml:space="preserve"> </w:t>
      </w:r>
      <w:r w:rsidR="009B7FD2" w:rsidRPr="000C7512">
        <w:rPr>
          <w:sz w:val="24"/>
          <w:szCs w:val="24"/>
        </w:rPr>
        <w:t>diatur dalam Undang-undang Nomor 4 Tahun 1996. Pengertian hak tanggungan menurut undang</w:t>
      </w:r>
      <w:r w:rsidR="00B51EC3" w:rsidRPr="000C7512">
        <w:rPr>
          <w:sz w:val="24"/>
          <w:szCs w:val="24"/>
        </w:rPr>
        <w:t>-</w:t>
      </w:r>
      <w:r w:rsidR="009B7FD2" w:rsidRPr="000C7512">
        <w:rPr>
          <w:sz w:val="24"/>
          <w:szCs w:val="24"/>
        </w:rPr>
        <w:t>undang ini adalah hak jaminan yang dibebankan pada hak atas tanah sebagaimana dimaksud dalam Undang-undang Nomor 5 Tahun 1960 tentang Peraturan Dasar Pokok-pokok Agraria, berikut atau tidak berikut benda-benda lain yang merupakan satu kesatuan dengan tanah itu, untuk pelunasan utang tertentu, yang memberikan kedudukan yang diutamakan kepada kreditor tertentu terhadap kreditor-kreditor lain</w:t>
      </w:r>
      <w:r w:rsidR="00FE21CB">
        <w:rPr>
          <w:rStyle w:val="FootnoteReference"/>
          <w:sz w:val="24"/>
          <w:szCs w:val="24"/>
        </w:rPr>
        <w:fldChar w:fldCharType="begin" w:fldLock="1"/>
      </w:r>
      <w:r w:rsidR="00FE21CB">
        <w:rPr>
          <w:sz w:val="24"/>
          <w:szCs w:val="24"/>
        </w:rPr>
        <w:instrText>ADDIN CSL_CITATION {"citationItems":[{"id":"ITEM-1","itemData":{"author":[{"dropping-particle":"","family":"Adrian","given":"David","non-dropping-particle":"","parse-names":false,"suffix":""}],"container-title":"Lex Privatum","id":"ITEM-1","issue":"1","issued":{"date-parts":[["2014"]]},"page":"144-155","title":"Perlindungan Hukum Terhadap Kreditur Atas Objek Hak Tanggungan Dari Upaya Sita Jaminan Oleh Pihak Ketiga","type":"article-journal","volume":"2"},"uris":["http://www.mendeley.com/documents/?uuid=74aa7245-a38a-4b0a-89c2-725a80dac80b"]}],"mendeley":{"formattedCitation":"(Adrian, 2014)","plainTextFormattedCitation":"(Adrian, 2014)","previouslyFormattedCitation":"David Adrian, ‘Perlindungan Hukum Terhadap Kreditur Atas Objek Hak Tanggungan Dari Upaya Sita Jaminan Oleh Pihak Ketiga’, &lt;i&gt;Lex Privatum&lt;/i&gt;, 2.1 (2014), 144–55 &lt;https://ejournal.unsrat.ac.id/index.php/lexprivatum/article/view/3969/3481&gt;."},"properties":{"noteIndex":0},"schema":"https://github.com/citation-style-language/schema/raw/master/csl-citation.json"}</w:instrText>
      </w:r>
      <w:r w:rsidR="00FE21CB">
        <w:rPr>
          <w:rStyle w:val="FootnoteReference"/>
          <w:sz w:val="24"/>
          <w:szCs w:val="24"/>
        </w:rPr>
        <w:fldChar w:fldCharType="separate"/>
      </w:r>
      <w:r w:rsidR="00FE21CB" w:rsidRPr="00FE21CB">
        <w:rPr>
          <w:bCs/>
          <w:noProof/>
          <w:sz w:val="24"/>
          <w:szCs w:val="24"/>
        </w:rPr>
        <w:t>(Adrian, 2014)</w:t>
      </w:r>
      <w:r w:rsidR="00FE21CB">
        <w:rPr>
          <w:rStyle w:val="FootnoteReference"/>
          <w:sz w:val="24"/>
          <w:szCs w:val="24"/>
        </w:rPr>
        <w:fldChar w:fldCharType="end"/>
      </w:r>
      <w:r w:rsidR="009B7FD2" w:rsidRPr="000C7512">
        <w:rPr>
          <w:sz w:val="24"/>
          <w:szCs w:val="24"/>
        </w:rPr>
        <w:t>.</w:t>
      </w:r>
    </w:p>
    <w:p w:rsidR="009B7FD2" w:rsidRPr="000C7512" w:rsidRDefault="002A30AF" w:rsidP="00FE21CB">
      <w:pPr>
        <w:spacing w:line="360" w:lineRule="auto"/>
        <w:ind w:firstLine="426"/>
        <w:jc w:val="both"/>
        <w:rPr>
          <w:sz w:val="24"/>
          <w:szCs w:val="24"/>
        </w:rPr>
      </w:pPr>
      <w:r w:rsidRPr="000C7512">
        <w:rPr>
          <w:sz w:val="24"/>
          <w:szCs w:val="24"/>
        </w:rPr>
        <w:t xml:space="preserve">Pihak kreditur mendapatkan jaminan hak tanggungan itu dengan </w:t>
      </w:r>
      <w:r w:rsidR="009B7FD2" w:rsidRPr="000C7512">
        <w:rPr>
          <w:sz w:val="24"/>
          <w:szCs w:val="24"/>
        </w:rPr>
        <w:t xml:space="preserve">Sertifikat Hak </w:t>
      </w:r>
      <w:r w:rsidR="009B7FD2" w:rsidRPr="000C7512">
        <w:rPr>
          <w:sz w:val="24"/>
          <w:szCs w:val="24"/>
        </w:rPr>
        <w:lastRenderedPageBreak/>
        <w:t>Tanggungan (SHT) yang dikeluarkan oleh pihak Badan Pertanahan. Dengan sertifikat itu, kreditor sebenarnya diperbolehkan menguasai objek jaminan tersebut secara langsung, sebab SHT memiliki kekuatan eksekutorial. Dengan kata lain, upaya paksa untuk mengambil alih asset tersebut dilindungi oleh undang-undang. Upaya paksa pengambilalihan asset dilakukan karena debitor tidak mau melepaskan jaminan, sehingga kreditor harus melakukan upaya pengosongan paksa dan upaya itu akhirnya hanya dapat dilakukan oleh pengadilan. Proses di pengadilan akan membutuhkan waktu yang lama dan biaya yang tidak sedikit, sehingga kreditor terpaksa mengeluarkan biaya dua kali</w:t>
      </w:r>
      <w:r w:rsidR="00FE21CB">
        <w:rPr>
          <w:rStyle w:val="FootnoteReference"/>
          <w:sz w:val="24"/>
          <w:szCs w:val="24"/>
        </w:rPr>
        <w:fldChar w:fldCharType="begin" w:fldLock="1"/>
      </w:r>
      <w:r w:rsidR="00FE21CB">
        <w:rPr>
          <w:sz w:val="24"/>
          <w:szCs w:val="24"/>
        </w:rPr>
        <w:instrText>ADDIN CSL_CITATION {"citationItems":[{"id":"ITEM-1","itemData":{"author":[{"dropping-particle":"","family":"Suyatno","given":"RM Anton","non-dropping-particle":"","parse-names":false,"suffix":""}],"container-title":"Jurnal Hukum dan Peradilan","id":"ITEM-1","issue":"1","issued":{"date-parts":[["2014"]]},"page":"1-10","title":"Perlawanan Dalam Eksekusi Obyek Jaminan Hak Tanggungan Berdasarkan Titel Eksekutorial","type":"article-journal","volume":"3"},"uris":["http://www.mendeley.com/documents/?uuid=ed9f4c5c-cc02-4a9f-8a22-042f5eaf9a92"]}],"mendeley":{"formattedCitation":"(Suyatno, 2014)","plainTextFormattedCitation":"(Suyatno, 2014)","previouslyFormattedCitation":"RM Anton Suyatno, ‘Perlawanan Dalam Eksekusi Obyek Jaminan Hak Tanggungan Berdasarkan Titel Eksekutorial’, &lt;i&gt;Jurnal Hukum Dan Peradilan&lt;/i&gt;, 3.1 (2014), 1–10 &lt;http://jurnalhukumdanperadilan.org/index.php/jurnalhukumperadilan/article/view/97&gt;."},"properties":{"noteIndex":0},"schema":"https://github.com/citation-style-language/schema/raw/master/csl-citation.json"}</w:instrText>
      </w:r>
      <w:r w:rsidR="00FE21CB">
        <w:rPr>
          <w:rStyle w:val="FootnoteReference"/>
          <w:sz w:val="24"/>
          <w:szCs w:val="24"/>
        </w:rPr>
        <w:fldChar w:fldCharType="separate"/>
      </w:r>
      <w:r w:rsidR="00FE21CB" w:rsidRPr="00FE21CB">
        <w:rPr>
          <w:bCs/>
          <w:noProof/>
          <w:sz w:val="24"/>
          <w:szCs w:val="24"/>
        </w:rPr>
        <w:t>(Suyatno, 2014)</w:t>
      </w:r>
      <w:r w:rsidR="00FE21CB">
        <w:rPr>
          <w:rStyle w:val="FootnoteReference"/>
          <w:sz w:val="24"/>
          <w:szCs w:val="24"/>
        </w:rPr>
        <w:fldChar w:fldCharType="end"/>
      </w:r>
      <w:r w:rsidR="009B7FD2" w:rsidRPr="000C7512">
        <w:rPr>
          <w:sz w:val="24"/>
          <w:szCs w:val="24"/>
        </w:rPr>
        <w:t>.</w:t>
      </w:r>
    </w:p>
    <w:p w:rsidR="009B7FD2" w:rsidRPr="000C7512" w:rsidRDefault="00383F3C" w:rsidP="000C7512">
      <w:pPr>
        <w:spacing w:line="360" w:lineRule="auto"/>
        <w:ind w:firstLine="426"/>
        <w:jc w:val="both"/>
        <w:rPr>
          <w:sz w:val="24"/>
          <w:szCs w:val="24"/>
        </w:rPr>
      </w:pPr>
      <w:r w:rsidRPr="000C7512">
        <w:rPr>
          <w:b/>
          <w:bCs/>
          <w:sz w:val="24"/>
          <w:szCs w:val="24"/>
        </w:rPr>
        <w:t xml:space="preserve">Kedua, </w:t>
      </w:r>
      <w:r w:rsidRPr="000C7512">
        <w:rPr>
          <w:sz w:val="24"/>
          <w:szCs w:val="24"/>
        </w:rPr>
        <w:t>Jaminan</w:t>
      </w:r>
      <w:r w:rsidRPr="000C7512">
        <w:rPr>
          <w:b/>
          <w:bCs/>
          <w:sz w:val="24"/>
          <w:szCs w:val="24"/>
        </w:rPr>
        <w:t xml:space="preserve"> </w:t>
      </w:r>
      <w:r w:rsidR="009B7FD2" w:rsidRPr="000C7512">
        <w:rPr>
          <w:sz w:val="24"/>
          <w:szCs w:val="24"/>
          <w:lang w:val="id-ID"/>
        </w:rPr>
        <w:t>Fidusia</w:t>
      </w:r>
      <w:r w:rsidRPr="000C7512">
        <w:rPr>
          <w:sz w:val="24"/>
          <w:szCs w:val="24"/>
        </w:rPr>
        <w:t>.</w:t>
      </w:r>
      <w:r w:rsidR="009B7FD2" w:rsidRPr="000C7512">
        <w:rPr>
          <w:sz w:val="24"/>
          <w:szCs w:val="24"/>
          <w:lang w:val="id-ID"/>
        </w:rPr>
        <w:t> </w:t>
      </w:r>
      <w:r w:rsidRPr="000C7512">
        <w:rPr>
          <w:sz w:val="24"/>
          <w:szCs w:val="24"/>
        </w:rPr>
        <w:t xml:space="preserve">Fidusia berasal dari bahasa Rowawi, yaitu </w:t>
      </w:r>
      <w:r w:rsidRPr="000C7512">
        <w:rPr>
          <w:i/>
          <w:iCs/>
          <w:sz w:val="24"/>
          <w:szCs w:val="24"/>
        </w:rPr>
        <w:t>fides</w:t>
      </w:r>
      <w:r w:rsidRPr="000C7512">
        <w:rPr>
          <w:sz w:val="24"/>
          <w:szCs w:val="24"/>
        </w:rPr>
        <w:t xml:space="preserve"> yang mengandung arti kepercayaan. Istilah fidusia yang dikenal dalam </w:t>
      </w:r>
      <w:r w:rsidR="00E157A5" w:rsidRPr="000C7512">
        <w:rPr>
          <w:sz w:val="24"/>
          <w:szCs w:val="24"/>
        </w:rPr>
        <w:t xml:space="preserve">tata </w:t>
      </w:r>
      <w:r w:rsidRPr="000C7512">
        <w:rPr>
          <w:sz w:val="24"/>
          <w:szCs w:val="24"/>
        </w:rPr>
        <w:t>hukum Indonesia, diambil dari bahasa Belanda, </w:t>
      </w:r>
      <w:r w:rsidRPr="000C7512">
        <w:rPr>
          <w:i/>
          <w:iCs/>
          <w:sz w:val="24"/>
          <w:szCs w:val="24"/>
        </w:rPr>
        <w:t>Fiduciare Eigendom Overdracht,</w:t>
      </w:r>
      <w:r w:rsidRPr="000C7512">
        <w:rPr>
          <w:sz w:val="24"/>
          <w:szCs w:val="24"/>
        </w:rPr>
        <w:t> yang mengandung makna penyerahan hak milik berdasarkan kepercayaan</w:t>
      </w:r>
      <w:r w:rsidR="00E157A5" w:rsidRPr="000C7512">
        <w:rPr>
          <w:sz w:val="24"/>
          <w:szCs w:val="24"/>
        </w:rPr>
        <w:t xml:space="preserve"> </w:t>
      </w:r>
      <w:r w:rsidR="00E157A5" w:rsidRPr="000C7512">
        <w:rPr>
          <w:sz w:val="24"/>
          <w:szCs w:val="24"/>
        </w:rPr>
        <w:t>(</w:t>
      </w:r>
      <w:r w:rsidR="00E157A5" w:rsidRPr="000C7512">
        <w:rPr>
          <w:i/>
          <w:iCs/>
          <w:sz w:val="24"/>
          <w:szCs w:val="24"/>
        </w:rPr>
        <w:t>Fiduciary Transfer of Ownership)</w:t>
      </w:r>
      <w:r w:rsidRPr="000C7512">
        <w:rPr>
          <w:sz w:val="24"/>
          <w:szCs w:val="24"/>
        </w:rPr>
        <w:t xml:space="preserve">. Sementara </w:t>
      </w:r>
      <w:r w:rsidRPr="000C7512">
        <w:rPr>
          <w:sz w:val="24"/>
          <w:szCs w:val="24"/>
          <w:lang w:val="id-ID"/>
        </w:rPr>
        <w:t>berdasarkan Undang-Undang Nomor 42 Tahun 1999</w:t>
      </w:r>
      <w:r w:rsidRPr="000C7512">
        <w:rPr>
          <w:sz w:val="24"/>
          <w:szCs w:val="24"/>
        </w:rPr>
        <w:t>, bahwa</w:t>
      </w:r>
      <w:r w:rsidRPr="000C7512">
        <w:rPr>
          <w:sz w:val="24"/>
          <w:szCs w:val="24"/>
          <w:lang w:val="id-ID"/>
        </w:rPr>
        <w:t> </w:t>
      </w:r>
      <w:r w:rsidRPr="000C7512">
        <w:rPr>
          <w:color w:val="000000" w:themeColor="text1"/>
          <w:sz w:val="24"/>
          <w:szCs w:val="24"/>
          <w:lang w:val="id-ID"/>
        </w:rPr>
        <w:t>Jaminan</w:t>
      </w:r>
      <w:r w:rsidRPr="000C7512">
        <w:rPr>
          <w:sz w:val="24"/>
          <w:szCs w:val="24"/>
          <w:lang w:val="id-ID"/>
        </w:rPr>
        <w:t> Fidusia</w:t>
      </w:r>
      <w:r w:rsidRPr="000C7512">
        <w:rPr>
          <w:sz w:val="24"/>
          <w:szCs w:val="24"/>
        </w:rPr>
        <w:t xml:space="preserve"> </w:t>
      </w:r>
      <w:r w:rsidR="009B7FD2" w:rsidRPr="000C7512">
        <w:rPr>
          <w:sz w:val="24"/>
          <w:szCs w:val="24"/>
          <w:lang w:val="id-ID"/>
        </w:rPr>
        <w:t xml:space="preserve">adalah pengalihan hak kepemilikan suatu benda atas dasar kepercayaan dengan ketentuan bahwa benda yang hak kepemilikannya dialihkan tersebut tetap </w:t>
      </w:r>
      <w:r w:rsidRPr="000C7512">
        <w:rPr>
          <w:sz w:val="24"/>
          <w:szCs w:val="24"/>
          <w:lang w:val="id-ID"/>
        </w:rPr>
        <w:t>dalam penguasaan pemilik benda</w:t>
      </w:r>
      <w:r w:rsidRPr="000C7512">
        <w:rPr>
          <w:sz w:val="24"/>
          <w:szCs w:val="24"/>
        </w:rPr>
        <w:t xml:space="preserve">. </w:t>
      </w:r>
    </w:p>
    <w:p w:rsidR="009B7FD2" w:rsidRPr="000C7512" w:rsidRDefault="009B7FD2" w:rsidP="000C7512">
      <w:pPr>
        <w:spacing w:line="360" w:lineRule="auto"/>
        <w:ind w:firstLine="426"/>
        <w:jc w:val="both"/>
        <w:rPr>
          <w:sz w:val="24"/>
          <w:szCs w:val="24"/>
        </w:rPr>
      </w:pPr>
      <w:r w:rsidRPr="000C7512">
        <w:rPr>
          <w:sz w:val="24"/>
          <w:szCs w:val="24"/>
        </w:rPr>
        <w:t>Di dalam Undang-Undang Nomor 42 Tahun 1999 tentang Jaminan Fidusia, terdapat pihak-pihak yang disebut sebagai Pemberi Fidusia dan Penerima Fidusia</w:t>
      </w:r>
      <w:r w:rsidR="00E157A5" w:rsidRPr="000C7512">
        <w:rPr>
          <w:sz w:val="24"/>
          <w:szCs w:val="24"/>
        </w:rPr>
        <w:t xml:space="preserve">. </w:t>
      </w:r>
      <w:r w:rsidRPr="000C7512">
        <w:rPr>
          <w:sz w:val="24"/>
          <w:szCs w:val="24"/>
        </w:rPr>
        <w:t xml:space="preserve">Dalam praktik fidusia, pemilik barang </w:t>
      </w:r>
      <w:r w:rsidR="00E157A5" w:rsidRPr="000C7512">
        <w:rPr>
          <w:sz w:val="24"/>
          <w:szCs w:val="24"/>
        </w:rPr>
        <w:t>(</w:t>
      </w:r>
      <w:r w:rsidR="00E157A5" w:rsidRPr="000C7512">
        <w:rPr>
          <w:sz w:val="24"/>
          <w:szCs w:val="24"/>
        </w:rPr>
        <w:t>Pemberi Fidusia</w:t>
      </w:r>
      <w:r w:rsidR="00E157A5" w:rsidRPr="000C7512">
        <w:rPr>
          <w:sz w:val="24"/>
          <w:szCs w:val="24"/>
        </w:rPr>
        <w:t xml:space="preserve">) </w:t>
      </w:r>
      <w:r w:rsidRPr="000C7512">
        <w:rPr>
          <w:sz w:val="24"/>
          <w:szCs w:val="24"/>
        </w:rPr>
        <w:t>hanya menyerahkan kepemilikan pada pihak lain</w:t>
      </w:r>
      <w:r w:rsidR="00E157A5" w:rsidRPr="000C7512">
        <w:rPr>
          <w:sz w:val="24"/>
          <w:szCs w:val="24"/>
        </w:rPr>
        <w:t xml:space="preserve"> (</w:t>
      </w:r>
      <w:r w:rsidR="00E157A5" w:rsidRPr="000C7512">
        <w:rPr>
          <w:sz w:val="24"/>
          <w:szCs w:val="24"/>
        </w:rPr>
        <w:t>Penerima Fidusia</w:t>
      </w:r>
      <w:r w:rsidR="00E157A5" w:rsidRPr="000C7512">
        <w:rPr>
          <w:sz w:val="24"/>
          <w:szCs w:val="24"/>
        </w:rPr>
        <w:t>)</w:t>
      </w:r>
      <w:r w:rsidRPr="000C7512">
        <w:rPr>
          <w:sz w:val="24"/>
          <w:szCs w:val="24"/>
        </w:rPr>
        <w:t xml:space="preserve">, tetapi penguasaannya tetap </w:t>
      </w:r>
      <w:r w:rsidR="00E157A5" w:rsidRPr="000C7512">
        <w:rPr>
          <w:sz w:val="24"/>
          <w:szCs w:val="24"/>
        </w:rPr>
        <w:t>di tangan pemilik barang</w:t>
      </w:r>
      <w:r w:rsidRPr="000C7512">
        <w:rPr>
          <w:sz w:val="24"/>
          <w:szCs w:val="24"/>
        </w:rPr>
        <w:t>. Jaminan Fidusia merupakan hak </w:t>
      </w:r>
      <w:r w:rsidRPr="000C7512">
        <w:rPr>
          <w:color w:val="000000" w:themeColor="text1"/>
          <w:sz w:val="24"/>
          <w:szCs w:val="24"/>
        </w:rPr>
        <w:t>jaminan</w:t>
      </w:r>
      <w:r w:rsidRPr="000C7512">
        <w:rPr>
          <w:sz w:val="24"/>
          <w:szCs w:val="24"/>
        </w:rPr>
        <w:t> atas benda bergerak baik yang berwujud maupun yang tidak berwujud dan benda tidak bergerak khususnya bangunan yang tida</w:t>
      </w:r>
      <w:r w:rsidR="00E157A5" w:rsidRPr="000C7512">
        <w:rPr>
          <w:sz w:val="24"/>
          <w:szCs w:val="24"/>
        </w:rPr>
        <w:t>k dapat dibebani hak tanggungan</w:t>
      </w:r>
      <w:r w:rsidRPr="000C7512">
        <w:rPr>
          <w:sz w:val="24"/>
          <w:szCs w:val="24"/>
        </w:rPr>
        <w:t>.</w:t>
      </w:r>
    </w:p>
    <w:p w:rsidR="00563D90" w:rsidRPr="000C7512" w:rsidRDefault="009B7FD2" w:rsidP="000C7512">
      <w:pPr>
        <w:spacing w:line="360" w:lineRule="auto"/>
        <w:ind w:firstLine="426"/>
        <w:jc w:val="both"/>
        <w:rPr>
          <w:sz w:val="24"/>
          <w:szCs w:val="24"/>
        </w:rPr>
      </w:pPr>
      <w:r w:rsidRPr="000C7512">
        <w:rPr>
          <w:sz w:val="24"/>
          <w:szCs w:val="24"/>
        </w:rPr>
        <w:t xml:space="preserve">Pembuatan Sertifikat Fidusia merupakan salah satu hal yang penting dilakukan dalam hal jaminan Fidusia. </w:t>
      </w:r>
      <w:r w:rsidR="00AE7950" w:rsidRPr="000C7512">
        <w:rPr>
          <w:sz w:val="24"/>
          <w:szCs w:val="24"/>
        </w:rPr>
        <w:t>Untuk pembuatan sertifikat ini, para pihak</w:t>
      </w:r>
      <w:r w:rsidRPr="000C7512">
        <w:rPr>
          <w:sz w:val="24"/>
          <w:szCs w:val="24"/>
        </w:rPr>
        <w:t xml:space="preserve"> hanya perlu ke </w:t>
      </w:r>
      <w:proofErr w:type="gramStart"/>
      <w:r w:rsidRPr="000C7512">
        <w:rPr>
          <w:sz w:val="24"/>
          <w:szCs w:val="24"/>
        </w:rPr>
        <w:t>kantor</w:t>
      </w:r>
      <w:proofErr w:type="gramEnd"/>
      <w:r w:rsidRPr="000C7512">
        <w:rPr>
          <w:sz w:val="24"/>
          <w:szCs w:val="24"/>
        </w:rPr>
        <w:t xml:space="preserve"> pendaftaran Fidusia untuk mendaftarkan jaminan Fidusia dan diresmikan oleh </w:t>
      </w:r>
      <w:r w:rsidRPr="000C7512">
        <w:rPr>
          <w:color w:val="000000" w:themeColor="text1"/>
          <w:sz w:val="24"/>
          <w:szCs w:val="24"/>
        </w:rPr>
        <w:t>Notaris.</w:t>
      </w:r>
      <w:r w:rsidRPr="000C7512">
        <w:rPr>
          <w:sz w:val="24"/>
          <w:szCs w:val="24"/>
        </w:rPr>
        <w:t xml:space="preserve"> Sertifikat inilah yang </w:t>
      </w:r>
      <w:proofErr w:type="gramStart"/>
      <w:r w:rsidRPr="000C7512">
        <w:rPr>
          <w:sz w:val="24"/>
          <w:szCs w:val="24"/>
        </w:rPr>
        <w:t>akan</w:t>
      </w:r>
      <w:proofErr w:type="gramEnd"/>
      <w:r w:rsidRPr="000C7512">
        <w:rPr>
          <w:sz w:val="24"/>
          <w:szCs w:val="24"/>
        </w:rPr>
        <w:t xml:space="preserve"> mengatur pengalihan hak kepemilikan objek atas dasar kepercayaan antara pihak kreditur dan debitur.</w:t>
      </w:r>
      <w:r w:rsidR="009F27A6" w:rsidRPr="000C7512">
        <w:rPr>
          <w:sz w:val="24"/>
          <w:szCs w:val="24"/>
        </w:rPr>
        <w:t xml:space="preserve"> </w:t>
      </w:r>
      <w:r w:rsidRPr="000C7512">
        <w:rPr>
          <w:sz w:val="24"/>
          <w:szCs w:val="24"/>
        </w:rPr>
        <w:t xml:space="preserve">Sertifikat Fidusia memberikan kekuatan hak eksekutorial untuk mencabut </w:t>
      </w:r>
      <w:r w:rsidR="000606BE" w:rsidRPr="000C7512">
        <w:rPr>
          <w:sz w:val="24"/>
          <w:szCs w:val="24"/>
        </w:rPr>
        <w:t>o</w:t>
      </w:r>
      <w:r w:rsidRPr="000C7512">
        <w:rPr>
          <w:sz w:val="24"/>
          <w:szCs w:val="24"/>
        </w:rPr>
        <w:t>bje</w:t>
      </w:r>
      <w:r w:rsidR="000606BE" w:rsidRPr="000C7512">
        <w:rPr>
          <w:sz w:val="24"/>
          <w:szCs w:val="24"/>
        </w:rPr>
        <w:t>k</w:t>
      </w:r>
      <w:r w:rsidRPr="000C7512">
        <w:rPr>
          <w:sz w:val="24"/>
          <w:szCs w:val="24"/>
        </w:rPr>
        <w:t xml:space="preserve"> </w:t>
      </w:r>
      <w:r w:rsidR="000606BE" w:rsidRPr="000C7512">
        <w:rPr>
          <w:sz w:val="24"/>
          <w:szCs w:val="24"/>
        </w:rPr>
        <w:t>f</w:t>
      </w:r>
      <w:r w:rsidRPr="000C7512">
        <w:rPr>
          <w:sz w:val="24"/>
          <w:szCs w:val="24"/>
        </w:rPr>
        <w:t>idusia tanpa melalui Putusan Pengadilan jika pihak debitur melakukan pelanggaran dalam perjanjiannya.</w:t>
      </w:r>
    </w:p>
    <w:p w:rsidR="009B7FD2" w:rsidRPr="000C7512" w:rsidRDefault="009B7FD2" w:rsidP="00FE21CB">
      <w:pPr>
        <w:spacing w:line="360" w:lineRule="auto"/>
        <w:ind w:firstLine="426"/>
        <w:jc w:val="both"/>
        <w:rPr>
          <w:sz w:val="24"/>
          <w:szCs w:val="24"/>
          <w:lang w:val="id-ID"/>
        </w:rPr>
      </w:pPr>
      <w:r w:rsidRPr="000C7512">
        <w:rPr>
          <w:sz w:val="24"/>
          <w:szCs w:val="24"/>
          <w:lang w:val="id-ID"/>
        </w:rPr>
        <w:t>Berdasarkan ketentuan dalam pasal 29 ayat (1) Undang-Undang Fidusia</w:t>
      </w:r>
      <w:r w:rsidR="00FE21CB">
        <w:rPr>
          <w:rStyle w:val="FootnoteReference"/>
          <w:sz w:val="24"/>
          <w:szCs w:val="24"/>
          <w:lang w:val="id-ID"/>
        </w:rPr>
        <w:fldChar w:fldCharType="begin" w:fldLock="1"/>
      </w:r>
      <w:r w:rsidR="00FE21CB">
        <w:rPr>
          <w:sz w:val="24"/>
          <w:szCs w:val="24"/>
          <w:lang w:val="id-ID"/>
        </w:rPr>
        <w:instrText>ADDIN CSL_CITATION {"citationItems":[{"id":"ITEM-1","itemData":{"author":[{"dropping-particle":"","family":"Menteri Sekretaris Negera Republik Indonesia","given":"","non-dropping-particle":"","parse-names":false,"suffix":""}],"id":"ITEM-1","issued":{"date-parts":[["1999"]]},"number":"UU NOMOR 42 TAHUN 1999","publisher-place":"Indonesia","title":"Undang-Undang Republik Indonesia Nomor 42 Tahun 1999 Tentang Jaminan Fidusia","type":"legislation"},"uris":["http://www.mendeley.com/documents/?uuid=269b5ff7-7bf0-4ad2-8e72-54fb1135c82c"]}],"mendeley":{"formattedCitation":"(Menteri Sekretaris Negera Republik Indonesia, 1999)","plainTextFormattedCitation":"(Menteri Sekretaris Negera Republik Indonesia, 1999)","previouslyFormattedCitation":"Menteri Sekretaris Negera Republik Indonesia, &lt;i&gt;Undang-Undang Republik Indonesia Nomor 42 Tahun 1999 Tentang Jaminan Fidusia&lt;/i&gt; (Indonesia, 1999) &lt;http://www.dpr.go.id/dokjdih/document/uu/443.pdf&gt;."},"properties":{"noteIndex":0},"schema":"https://github.com/citation-style-language/schema/raw/master/csl-citation.json"}</w:instrText>
      </w:r>
      <w:r w:rsidR="00FE21CB">
        <w:rPr>
          <w:rStyle w:val="FootnoteReference"/>
          <w:sz w:val="24"/>
          <w:szCs w:val="24"/>
          <w:lang w:val="id-ID"/>
        </w:rPr>
        <w:fldChar w:fldCharType="separate"/>
      </w:r>
      <w:r w:rsidR="00FE21CB" w:rsidRPr="00FE21CB">
        <w:rPr>
          <w:noProof/>
          <w:sz w:val="24"/>
          <w:szCs w:val="24"/>
          <w:lang w:val="id-ID"/>
        </w:rPr>
        <w:t>(Menteri Sekretaris Negera Republik Indonesia, 1999)</w:t>
      </w:r>
      <w:r w:rsidR="00FE21CB">
        <w:rPr>
          <w:rStyle w:val="FootnoteReference"/>
          <w:sz w:val="24"/>
          <w:szCs w:val="24"/>
          <w:lang w:val="id-ID"/>
        </w:rPr>
        <w:fldChar w:fldCharType="end"/>
      </w:r>
      <w:r w:rsidRPr="000C7512">
        <w:rPr>
          <w:sz w:val="24"/>
          <w:szCs w:val="24"/>
          <w:lang w:val="id-ID"/>
        </w:rPr>
        <w:t xml:space="preserve">, dapat diketahui bahwa apabila debitur atau pemberi fidusia melakukan cidera janji, eksekusi terhadap benda yang menjadi obyek jaminan fidusia dapat dilakukan dengan cara sebagai berikut: a. Eksekusi berdasarkan grosse sertifikat Jaminan fidusia atau dengan kata lain mengandung titel eksekutorial (fiat eksekusi) yang </w:t>
      </w:r>
      <w:r w:rsidRPr="000C7512">
        <w:rPr>
          <w:sz w:val="24"/>
          <w:szCs w:val="24"/>
          <w:lang w:val="id-ID"/>
        </w:rPr>
        <w:lastRenderedPageBreak/>
        <w:t>terdapat dalam Sertifikat Jaminan fidusia, yang dilakukan oleh penerima fidusia; b. Eksekusi berdasarkan pelaksanaan parate eksekusi melalui pelelangan umum oleh penerima fidusia; c. Eksekusi secara penjualan di bawah tangan oleh kreditur pemberi fidusia sendiri</w:t>
      </w:r>
      <w:r w:rsidR="00FE21CB">
        <w:rPr>
          <w:rStyle w:val="FootnoteReference"/>
          <w:sz w:val="24"/>
          <w:szCs w:val="24"/>
        </w:rPr>
        <w:fldChar w:fldCharType="begin" w:fldLock="1"/>
      </w:r>
      <w:r w:rsidR="00FE21CB">
        <w:rPr>
          <w:sz w:val="24"/>
          <w:szCs w:val="24"/>
        </w:rPr>
        <w:instrText>ADDIN CSL_CITATION {"citationItems":[{"id":"ITEM-1","itemData":{"DOI":"10.1017/CBO9781107415324.004","ISBN":"9788578110796","ISSN":"1098-6596","PMID":"25246403","abstract":"Wrong abstract","author":[{"dropping-particle":"","family":"Salamiah","given":"","non-dropping-particle":"","parse-names":false,"suffix":""},{"dropping-particle":"","family":"Riswandie","given":"Iwan","non-dropping-particle":"","parse-names":false,"suffix":""},{"dropping-particle":"","family":"Aini","given":"Muhammad","non-dropping-particle":"","parse-names":false,"suffix":""}],"container-title":"Al’Adl","id":"ITEM-1","issue":"3","issued":{"date-parts":[["2017"]]},"page":"337-356","title":"Efektivitas Eksekusi Obyek Jaminan Fidusia Bagi Nasabah Yang Tidak Mau Menyerahkan Obyek Fidusia Secara Sukarela (Studi Pada PT. Bank Panin, Tbk KCU Banjarmasin)","type":"article-journal","volume":"9"},"uris":["http://www.mendeley.com/documents/?uuid=59cab61a-f8b2-4dcc-bd10-2d906aec3283"]}],"mendeley":{"formattedCitation":"(Salamiah, Riswandie, &amp; Aini, 2017)","plainTextFormattedCitation":"(Salamiah, Riswandie, &amp; Aini, 2017)","previouslyFormattedCitation":"Salamiah, Iwan Riswandie, and Muhammad Aini, ‘Efektivitas Eksekusi Obyek Jaminan Fidusia Bagi Nasabah Yang Tidak Mau Menyerahkan Obyek Fidusia Secara Sukarela (Studi Pada PT. Bank Panin, Tbk KCU Banjarmasin)’, &lt;i&gt;Al’Adl&lt;/i&gt;, 9.3 (2017), 337–56 &lt;https://doi.org/10.1017/CBO9781107415324.004&gt;."},"properties":{"noteIndex":0},"schema":"https://github.com/citation-style-language/schema/raw/master/csl-citation.json"}</w:instrText>
      </w:r>
      <w:r w:rsidR="00FE21CB">
        <w:rPr>
          <w:rStyle w:val="FootnoteReference"/>
          <w:sz w:val="24"/>
          <w:szCs w:val="24"/>
        </w:rPr>
        <w:fldChar w:fldCharType="separate"/>
      </w:r>
      <w:r w:rsidR="00FE21CB" w:rsidRPr="00FE21CB">
        <w:rPr>
          <w:bCs/>
          <w:noProof/>
          <w:sz w:val="24"/>
          <w:szCs w:val="24"/>
        </w:rPr>
        <w:t>(Salamiah, Riswandie, &amp; Aini, 2017)</w:t>
      </w:r>
      <w:r w:rsidR="00FE21CB">
        <w:rPr>
          <w:rStyle w:val="FootnoteReference"/>
          <w:sz w:val="24"/>
          <w:szCs w:val="24"/>
        </w:rPr>
        <w:fldChar w:fldCharType="end"/>
      </w:r>
      <w:r w:rsidRPr="000C7512">
        <w:rPr>
          <w:sz w:val="24"/>
          <w:szCs w:val="24"/>
          <w:lang w:val="id-ID"/>
        </w:rPr>
        <w:t>.</w:t>
      </w:r>
    </w:p>
    <w:p w:rsidR="009B7FD2" w:rsidRPr="000C7512" w:rsidRDefault="009B7FD2" w:rsidP="000C7512">
      <w:pPr>
        <w:pStyle w:val="Heading3"/>
        <w:numPr>
          <w:ilvl w:val="0"/>
          <w:numId w:val="12"/>
        </w:numPr>
        <w:spacing w:line="360" w:lineRule="auto"/>
        <w:jc w:val="both"/>
        <w:rPr>
          <w:rFonts w:ascii="Times New Roman" w:hAnsi="Times New Roman" w:cs="Times New Roman"/>
          <w:b/>
          <w:bCs/>
          <w:color w:val="000000" w:themeColor="text1"/>
        </w:rPr>
      </w:pPr>
      <w:r w:rsidRPr="000C7512">
        <w:rPr>
          <w:rFonts w:ascii="Times New Roman" w:hAnsi="Times New Roman" w:cs="Times New Roman"/>
          <w:b/>
          <w:bCs/>
          <w:color w:val="000000" w:themeColor="text1"/>
          <w:lang w:val="id-ID"/>
        </w:rPr>
        <w:t>Eksekusi Sita Jaminan</w:t>
      </w:r>
      <w:r w:rsidR="00E157A5" w:rsidRPr="000C7512">
        <w:rPr>
          <w:rFonts w:ascii="Times New Roman" w:hAnsi="Times New Roman" w:cs="Times New Roman"/>
          <w:b/>
          <w:bCs/>
          <w:color w:val="000000" w:themeColor="text1"/>
        </w:rPr>
        <w:t xml:space="preserve"> benda</w:t>
      </w:r>
      <w:r w:rsidRPr="000C7512">
        <w:rPr>
          <w:rFonts w:ascii="Times New Roman" w:hAnsi="Times New Roman" w:cs="Times New Roman"/>
          <w:b/>
          <w:bCs/>
          <w:color w:val="000000" w:themeColor="text1"/>
          <w:lang w:val="id-ID"/>
        </w:rPr>
        <w:t xml:space="preserve"> </w:t>
      </w:r>
      <w:r w:rsidR="000442BC" w:rsidRPr="000C7512">
        <w:rPr>
          <w:rFonts w:ascii="Times New Roman" w:hAnsi="Times New Roman" w:cs="Times New Roman"/>
          <w:b/>
          <w:bCs/>
          <w:color w:val="000000" w:themeColor="text1"/>
        </w:rPr>
        <w:t>:Antara Litigasi dan Non-Litigasi</w:t>
      </w:r>
    </w:p>
    <w:p w:rsidR="000442BC" w:rsidRPr="000C7512" w:rsidRDefault="00754BFA" w:rsidP="000C7512">
      <w:pPr>
        <w:spacing w:line="360" w:lineRule="auto"/>
        <w:ind w:firstLine="426"/>
        <w:jc w:val="both"/>
        <w:rPr>
          <w:sz w:val="24"/>
          <w:szCs w:val="24"/>
        </w:rPr>
      </w:pPr>
      <w:r w:rsidRPr="000C7512">
        <w:rPr>
          <w:sz w:val="24"/>
          <w:szCs w:val="24"/>
        </w:rPr>
        <w:t>Secara normatif</w:t>
      </w:r>
      <w:r w:rsidR="000442BC" w:rsidRPr="000C7512">
        <w:rPr>
          <w:sz w:val="24"/>
          <w:szCs w:val="24"/>
        </w:rPr>
        <w:t>, eksekusi sita jaminan</w:t>
      </w:r>
      <w:r w:rsidRPr="000C7512">
        <w:rPr>
          <w:sz w:val="24"/>
          <w:szCs w:val="24"/>
        </w:rPr>
        <w:t xml:space="preserve"> atas benda, baik berupa hak tanggungan ataupun jaminan fidusia,</w:t>
      </w:r>
      <w:r w:rsidR="000442BC" w:rsidRPr="000C7512">
        <w:rPr>
          <w:sz w:val="24"/>
          <w:szCs w:val="24"/>
        </w:rPr>
        <w:t xml:space="preserve"> yang dilakukan LKS dapat melalui dua </w:t>
      </w:r>
      <w:proofErr w:type="gramStart"/>
      <w:r w:rsidR="000442BC" w:rsidRPr="000C7512">
        <w:rPr>
          <w:sz w:val="24"/>
          <w:szCs w:val="24"/>
        </w:rPr>
        <w:t>cara</w:t>
      </w:r>
      <w:proofErr w:type="gramEnd"/>
      <w:r w:rsidR="000442BC" w:rsidRPr="000C7512">
        <w:rPr>
          <w:sz w:val="24"/>
          <w:szCs w:val="24"/>
        </w:rPr>
        <w:t xml:space="preserve">, yaitu litigasi dan non-litigsi. </w:t>
      </w:r>
      <w:r w:rsidR="00AE7950" w:rsidRPr="000C7512">
        <w:rPr>
          <w:sz w:val="24"/>
          <w:szCs w:val="24"/>
        </w:rPr>
        <w:t xml:space="preserve">Secara ligative, pihak yang bersengketa harus mendaftarkan perkaranya ke pengadilan agama (PA). </w:t>
      </w:r>
      <w:r w:rsidR="000442BC" w:rsidRPr="000C7512">
        <w:rPr>
          <w:sz w:val="24"/>
          <w:szCs w:val="24"/>
        </w:rPr>
        <w:t xml:space="preserve">Hasil dari wawancara dengan Hakim di Pengadilan Agama Magelang, mengatakan bahwa, eksekusi sita jaminan </w:t>
      </w:r>
      <w:proofErr w:type="gramStart"/>
      <w:r w:rsidR="000442BC" w:rsidRPr="000C7512">
        <w:rPr>
          <w:sz w:val="24"/>
          <w:szCs w:val="24"/>
        </w:rPr>
        <w:t>akan</w:t>
      </w:r>
      <w:proofErr w:type="gramEnd"/>
      <w:r w:rsidR="000442BC" w:rsidRPr="000C7512">
        <w:rPr>
          <w:sz w:val="24"/>
          <w:szCs w:val="24"/>
        </w:rPr>
        <w:t xml:space="preserve"> dilakukan jika ada permohonan gugatan eksekusi jamina masuk ke Pengadilan Agama. Permohonan tersebut dapat dimohonkan saat mendaftar wanprestasi, atau setelah mendapat putusan mengenai permohonan wanprestasi, baru mengajukan permohonan eksekusi. Untuk jaminan yang dapat diajukan sebagai eksekusi sita jaminan adalah jaminan yang memang hasil dari akad yang telah disepakati oleh pihak penggugat dan tergugat. Jaminan tersebut </w:t>
      </w:r>
      <w:proofErr w:type="gramStart"/>
      <w:r w:rsidR="000442BC" w:rsidRPr="000C7512">
        <w:rPr>
          <w:sz w:val="24"/>
          <w:szCs w:val="24"/>
        </w:rPr>
        <w:t>akan</w:t>
      </w:r>
      <w:proofErr w:type="gramEnd"/>
      <w:r w:rsidR="000442BC" w:rsidRPr="000C7512">
        <w:rPr>
          <w:sz w:val="24"/>
          <w:szCs w:val="24"/>
        </w:rPr>
        <w:t xml:space="preserve"> diproses, baik sudah memiliki sertifkat Akta Pemberian Hak Tanggung (APHT) ataupun tidak. Karena sertifikat APHT menurut UUHT (UU No 4/1996) kedudukannya </w:t>
      </w:r>
      <w:proofErr w:type="gramStart"/>
      <w:r w:rsidR="000442BC" w:rsidRPr="000C7512">
        <w:rPr>
          <w:sz w:val="24"/>
          <w:szCs w:val="24"/>
        </w:rPr>
        <w:t>sama</w:t>
      </w:r>
      <w:proofErr w:type="gramEnd"/>
      <w:r w:rsidR="000442BC" w:rsidRPr="000C7512">
        <w:rPr>
          <w:sz w:val="24"/>
          <w:szCs w:val="24"/>
        </w:rPr>
        <w:t xml:space="preserve"> dengan putusan hakim Pengadilan </w:t>
      </w:r>
      <w:r w:rsidR="00E157A5" w:rsidRPr="000C7512">
        <w:rPr>
          <w:sz w:val="24"/>
          <w:szCs w:val="24"/>
        </w:rPr>
        <w:t xml:space="preserve">Agama. </w:t>
      </w:r>
      <w:r w:rsidR="000442BC" w:rsidRPr="000C7512">
        <w:rPr>
          <w:sz w:val="24"/>
          <w:szCs w:val="24"/>
        </w:rPr>
        <w:t xml:space="preserve">Setelah itu, Pengadilan Agama </w:t>
      </w:r>
      <w:proofErr w:type="gramStart"/>
      <w:r w:rsidR="000442BC" w:rsidRPr="000C7512">
        <w:rPr>
          <w:sz w:val="24"/>
          <w:szCs w:val="24"/>
        </w:rPr>
        <w:t>akan</w:t>
      </w:r>
      <w:proofErr w:type="gramEnd"/>
      <w:r w:rsidR="000442BC" w:rsidRPr="000C7512">
        <w:rPr>
          <w:sz w:val="24"/>
          <w:szCs w:val="24"/>
        </w:rPr>
        <w:t xml:space="preserve"> memproses, baik melalui mediasi atau sidang yang nantinya akan menghasilkan suatu putusan.</w:t>
      </w:r>
    </w:p>
    <w:p w:rsidR="009B7FD2" w:rsidRPr="000C7512" w:rsidRDefault="009B7FD2" w:rsidP="000C7512">
      <w:pPr>
        <w:spacing w:line="360" w:lineRule="auto"/>
        <w:ind w:firstLine="426"/>
        <w:jc w:val="both"/>
        <w:rPr>
          <w:sz w:val="24"/>
          <w:szCs w:val="24"/>
        </w:rPr>
      </w:pPr>
      <w:r w:rsidRPr="000C7512">
        <w:rPr>
          <w:sz w:val="24"/>
          <w:szCs w:val="24"/>
        </w:rPr>
        <w:t>Dari wawancara yang dilakukan</w:t>
      </w:r>
      <w:r w:rsidR="000442BC" w:rsidRPr="000C7512">
        <w:rPr>
          <w:sz w:val="24"/>
          <w:szCs w:val="24"/>
        </w:rPr>
        <w:t xml:space="preserve"> terhadap para pengelola LKS</w:t>
      </w:r>
      <w:r w:rsidRPr="000C7512">
        <w:rPr>
          <w:sz w:val="24"/>
          <w:szCs w:val="24"/>
        </w:rPr>
        <w:t>, bahwa pada umumnya Lembaga Keuangan Syariah (LKS) di Kota Magelang tidak menggunakan jalur litigasi</w:t>
      </w:r>
      <w:r w:rsidR="00422804" w:rsidRPr="000C7512">
        <w:rPr>
          <w:sz w:val="24"/>
          <w:szCs w:val="24"/>
        </w:rPr>
        <w:t xml:space="preserve"> pengadilan</w:t>
      </w:r>
      <w:r w:rsidRPr="000C7512">
        <w:rPr>
          <w:sz w:val="24"/>
          <w:szCs w:val="24"/>
        </w:rPr>
        <w:t xml:space="preserve"> dalam penanganan sengketa ekonomi syariah yang mereka hadapi</w:t>
      </w:r>
      <w:r w:rsidR="00422804" w:rsidRPr="000C7512">
        <w:rPr>
          <w:sz w:val="24"/>
          <w:szCs w:val="24"/>
        </w:rPr>
        <w:t>, baik pengadilan agama ataupun pengadilan negeri</w:t>
      </w:r>
      <w:r w:rsidRPr="000C7512">
        <w:rPr>
          <w:sz w:val="24"/>
          <w:szCs w:val="24"/>
        </w:rPr>
        <w:t xml:space="preserve">. LKS lebih memilih </w:t>
      </w:r>
      <w:proofErr w:type="gramStart"/>
      <w:r w:rsidRPr="000C7512">
        <w:rPr>
          <w:sz w:val="24"/>
          <w:szCs w:val="24"/>
        </w:rPr>
        <w:t>cara</w:t>
      </w:r>
      <w:proofErr w:type="gramEnd"/>
      <w:r w:rsidRPr="000C7512">
        <w:rPr>
          <w:sz w:val="24"/>
          <w:szCs w:val="24"/>
        </w:rPr>
        <w:t xml:space="preserve"> lain, yaitu non litigasi dalam penyelesaian sengketa ekonomi syariah, khususnya dalam upaya eksekusi sita jaminan.</w:t>
      </w:r>
    </w:p>
    <w:p w:rsidR="009B7FD2" w:rsidRPr="000C7512" w:rsidRDefault="00400CB4" w:rsidP="000C7512">
      <w:pPr>
        <w:spacing w:line="360" w:lineRule="auto"/>
        <w:ind w:firstLine="426"/>
        <w:jc w:val="both"/>
        <w:rPr>
          <w:sz w:val="24"/>
          <w:szCs w:val="24"/>
          <w:lang w:val="id-ID"/>
        </w:rPr>
      </w:pPr>
      <w:r w:rsidRPr="000C7512">
        <w:rPr>
          <w:sz w:val="24"/>
          <w:szCs w:val="24"/>
        </w:rPr>
        <w:t xml:space="preserve">Berdasarkan wawancara terhadap salah satu karyawan </w:t>
      </w:r>
      <w:r w:rsidR="009B7FD2" w:rsidRPr="000C7512">
        <w:rPr>
          <w:sz w:val="24"/>
          <w:szCs w:val="24"/>
          <w:lang w:val="id-ID"/>
        </w:rPr>
        <w:t>Bank Syariah Mandiri KCP Kota Magelang</w:t>
      </w:r>
      <w:r w:rsidRPr="000C7512">
        <w:rPr>
          <w:sz w:val="24"/>
          <w:szCs w:val="24"/>
        </w:rPr>
        <w:t xml:space="preserve">, mengungkapkan bahwa </w:t>
      </w:r>
      <w:proofErr w:type="gramStart"/>
      <w:r w:rsidRPr="000C7512">
        <w:rPr>
          <w:sz w:val="24"/>
          <w:szCs w:val="24"/>
        </w:rPr>
        <w:t>kantor</w:t>
      </w:r>
      <w:proofErr w:type="gramEnd"/>
      <w:r w:rsidRPr="000C7512">
        <w:rPr>
          <w:sz w:val="24"/>
          <w:szCs w:val="24"/>
        </w:rPr>
        <w:t xml:space="preserve"> mereka</w:t>
      </w:r>
      <w:r w:rsidR="009B7FD2" w:rsidRPr="000C7512">
        <w:rPr>
          <w:sz w:val="24"/>
          <w:szCs w:val="24"/>
          <w:lang w:val="id-ID"/>
        </w:rPr>
        <w:t xml:space="preserve"> menyerahkan permasalahan pembiayaan ke Kantor Pusat yang terletak di Yogyakarta. </w:t>
      </w:r>
      <w:r w:rsidR="000E112D" w:rsidRPr="000C7512">
        <w:rPr>
          <w:sz w:val="24"/>
          <w:szCs w:val="24"/>
          <w:lang w:val="id-ID"/>
        </w:rPr>
        <w:t>Bank Syariah Mandiri KCP Kota Magelang</w:t>
      </w:r>
      <w:r w:rsidR="000E112D" w:rsidRPr="000C7512">
        <w:rPr>
          <w:sz w:val="24"/>
          <w:szCs w:val="24"/>
        </w:rPr>
        <w:t xml:space="preserve"> </w:t>
      </w:r>
      <w:r w:rsidR="000E112D" w:rsidRPr="000C7512">
        <w:rPr>
          <w:sz w:val="24"/>
          <w:szCs w:val="24"/>
          <w:lang w:val="id-ID"/>
        </w:rPr>
        <w:t xml:space="preserve">awalnya mempunyai bagian </w:t>
      </w:r>
      <w:r w:rsidR="000E112D" w:rsidRPr="000C7512">
        <w:rPr>
          <w:i/>
          <w:iCs/>
          <w:sz w:val="24"/>
          <w:szCs w:val="24"/>
          <w:lang w:val="id-ID"/>
        </w:rPr>
        <w:t>risk and recovery</w:t>
      </w:r>
      <w:r w:rsidR="000E112D" w:rsidRPr="000C7512">
        <w:rPr>
          <w:i/>
          <w:iCs/>
          <w:sz w:val="24"/>
          <w:szCs w:val="24"/>
        </w:rPr>
        <w:t xml:space="preserve"> </w:t>
      </w:r>
      <w:r w:rsidR="000E112D" w:rsidRPr="000C7512">
        <w:rPr>
          <w:sz w:val="24"/>
          <w:szCs w:val="24"/>
          <w:lang w:val="id-ID"/>
        </w:rPr>
        <w:t>yang bertugas</w:t>
      </w:r>
      <w:r w:rsidR="000E112D" w:rsidRPr="000C7512">
        <w:rPr>
          <w:sz w:val="24"/>
          <w:szCs w:val="24"/>
        </w:rPr>
        <w:t xml:space="preserve"> </w:t>
      </w:r>
      <w:r w:rsidR="000E112D" w:rsidRPr="000C7512">
        <w:rPr>
          <w:sz w:val="24"/>
          <w:szCs w:val="24"/>
          <w:lang w:val="id-ID"/>
        </w:rPr>
        <w:t>untuk mengatasi permasalah pembiayaan bermasalah</w:t>
      </w:r>
      <w:r w:rsidR="000E112D" w:rsidRPr="000C7512">
        <w:rPr>
          <w:sz w:val="24"/>
          <w:szCs w:val="24"/>
        </w:rPr>
        <w:t xml:space="preserve">, tetapi sekarang semuanya ditangani oleh kantor pusat. </w:t>
      </w:r>
      <w:r w:rsidRPr="000C7512">
        <w:rPr>
          <w:sz w:val="24"/>
          <w:szCs w:val="24"/>
        </w:rPr>
        <w:t xml:space="preserve">Untuk melakukan sita jaminan, </w:t>
      </w:r>
      <w:r w:rsidR="009B7FD2" w:rsidRPr="000C7512">
        <w:rPr>
          <w:sz w:val="24"/>
          <w:szCs w:val="24"/>
          <w:lang w:val="id-ID"/>
        </w:rPr>
        <w:t xml:space="preserve">Bank Syariah Mandiri KCP Kota Magelang menggunakan Kantor Pelayanan Kekayaan Negara dan Lelang (KPKNL) untuk menyelesaikan permasalahannya. </w:t>
      </w:r>
      <w:r w:rsidRPr="000C7512">
        <w:rPr>
          <w:sz w:val="24"/>
          <w:szCs w:val="24"/>
        </w:rPr>
        <w:t>Sementara prosesnya</w:t>
      </w:r>
      <w:r w:rsidR="009B7FD2" w:rsidRPr="000C7512">
        <w:rPr>
          <w:sz w:val="24"/>
          <w:szCs w:val="24"/>
          <w:lang w:val="id-ID"/>
        </w:rPr>
        <w:t xml:space="preserve">, mereka medaftarkan perkara sita jaminan dengan lelang, ke </w:t>
      </w:r>
      <w:proofErr w:type="gramStart"/>
      <w:r w:rsidR="009B7FD2" w:rsidRPr="000C7512">
        <w:rPr>
          <w:sz w:val="24"/>
          <w:szCs w:val="24"/>
          <w:lang w:val="id-ID"/>
        </w:rPr>
        <w:t>kantor</w:t>
      </w:r>
      <w:proofErr w:type="gramEnd"/>
      <w:r w:rsidR="009B7FD2" w:rsidRPr="000C7512">
        <w:rPr>
          <w:sz w:val="24"/>
          <w:szCs w:val="24"/>
          <w:lang w:val="id-ID"/>
        </w:rPr>
        <w:t xml:space="preserve"> layanan lelang</w:t>
      </w:r>
      <w:r w:rsidRPr="000C7512">
        <w:rPr>
          <w:sz w:val="24"/>
          <w:szCs w:val="24"/>
        </w:rPr>
        <w:t xml:space="preserve"> (KPKNL)</w:t>
      </w:r>
      <w:r w:rsidR="009B7FD2" w:rsidRPr="000C7512">
        <w:rPr>
          <w:sz w:val="24"/>
          <w:szCs w:val="24"/>
          <w:lang w:val="id-ID"/>
        </w:rPr>
        <w:t xml:space="preserve"> di Semarang. Kemudian berita lelang dari KP</w:t>
      </w:r>
      <w:r w:rsidR="009B7FD2" w:rsidRPr="000C7512">
        <w:rPr>
          <w:sz w:val="24"/>
          <w:szCs w:val="24"/>
        </w:rPr>
        <w:t>K</w:t>
      </w:r>
      <w:r w:rsidR="009B7FD2" w:rsidRPr="000C7512">
        <w:rPr>
          <w:sz w:val="24"/>
          <w:szCs w:val="24"/>
          <w:lang w:val="id-ID"/>
        </w:rPr>
        <w:t xml:space="preserve">NL tersebut akan dibawa ke kantor </w:t>
      </w:r>
      <w:r w:rsidR="009B7FD2" w:rsidRPr="000C7512">
        <w:rPr>
          <w:sz w:val="24"/>
          <w:szCs w:val="24"/>
          <w:lang w:val="id-ID"/>
        </w:rPr>
        <w:lastRenderedPageBreak/>
        <w:t xml:space="preserve">cabang Magelang untuk diberitakan di papan pengumumam milik BSM KCP Kota Magelang. </w:t>
      </w:r>
    </w:p>
    <w:p w:rsidR="009B7FD2" w:rsidRPr="000C7512" w:rsidRDefault="000348EC" w:rsidP="00FE21CB">
      <w:pPr>
        <w:spacing w:line="360" w:lineRule="auto"/>
        <w:ind w:firstLine="426"/>
        <w:jc w:val="both"/>
        <w:rPr>
          <w:sz w:val="24"/>
          <w:szCs w:val="24"/>
          <w:lang w:val="id-ID"/>
        </w:rPr>
      </w:pPr>
      <w:r w:rsidRPr="000C7512">
        <w:rPr>
          <w:sz w:val="24"/>
          <w:szCs w:val="24"/>
          <w:lang w:val="id-ID"/>
        </w:rPr>
        <w:t xml:space="preserve">Dan LKS di </w:t>
      </w:r>
      <w:r w:rsidR="00A03182" w:rsidRPr="000C7512">
        <w:rPr>
          <w:sz w:val="24"/>
          <w:szCs w:val="24"/>
          <w:lang w:val="id-ID"/>
        </w:rPr>
        <w:t>M</w:t>
      </w:r>
      <w:r w:rsidRPr="000C7512">
        <w:rPr>
          <w:sz w:val="24"/>
          <w:szCs w:val="24"/>
          <w:lang w:val="id-ID"/>
        </w:rPr>
        <w:t xml:space="preserve">agelang, selama ini juga tidak menggunakan pengadilan negeri sebagai penyelesaian ketika terjadi wansprestasi ataupun sengketa untuk perkara ekonomi syariah mereka. </w:t>
      </w:r>
      <w:r w:rsidRPr="000C7512">
        <w:rPr>
          <w:sz w:val="24"/>
          <w:szCs w:val="24"/>
        </w:rPr>
        <w:t>Dalam penelusuran perkara</w:t>
      </w:r>
      <w:r w:rsidR="009B7FD2" w:rsidRPr="000C7512">
        <w:rPr>
          <w:sz w:val="24"/>
          <w:szCs w:val="24"/>
          <w:lang w:val="id-ID"/>
        </w:rPr>
        <w:t xml:space="preserve"> di Pengadilan Negeri Magelang, tidak ditemukan perkara ekonomi syariah yang sedang diajukan atau sudah diselesaikan. Pada umumnya, perkara gugatan perdata ekonomi yang didaftarkan ataupun diselesaikan oleh PN adalah perkara-perkara perdata ekonomi non syariah</w:t>
      </w:r>
      <w:r w:rsidR="00FE21CB">
        <w:rPr>
          <w:rStyle w:val="FootnoteReference"/>
          <w:sz w:val="24"/>
          <w:szCs w:val="24"/>
          <w:lang w:val="id-ID"/>
        </w:rPr>
        <w:fldChar w:fldCharType="begin" w:fldLock="1"/>
      </w:r>
      <w:r w:rsidR="00FE21CB">
        <w:rPr>
          <w:sz w:val="24"/>
          <w:szCs w:val="24"/>
          <w:lang w:val="id-ID"/>
        </w:rPr>
        <w:instrText>ADDIN CSL_CITATION {"citationItems":[{"id":"ITEM-1","itemData":{"URL":"http://sipp.pn-magelang.go.id/list_perkara/search","accessed":{"date-parts":[["2020","5","14"]]},"author":[{"dropping-particle":"","family":"Pengadilan Negeri Magelang","given":"","non-dropping-particle":"","parse-names":false,"suffix":""}],"container-title":"Sistem Informasi Penelusuran Perkara Pengadilan Negeri Magelang","id":"ITEM-1","issued":{"date-parts":[["0"]]},"page":"Daftar Perkara Gugatan Wanprestasi","title":"Daftar Perkara Gugatan","type":"webpage"},"uris":["http://www.mendeley.com/documents/?uuid=682a85cd-413c-478f-b8ee-b9a33706e7d6"]}],"mendeley":{"formattedCitation":"(Pengadilan Negeri Magelang, n.d.)","plainTextFormattedCitation":"(Pengadilan Negeri Magelang, n.d.)","previouslyFormattedCitation":"Pengadilan Negeri Magelang, ‘Daftar Perkara Gugatan’, &lt;i&gt;Sistem Informasi Penelusuran Perkara Pengadilan Negeri Magelang&lt;/i&gt;, p. Daftar Perkara Gugatan Wanprestasi &lt;http://sipp.pn-magelang.go.id/list_perkara/search&gt; [accessed 14 May 2020]."},"properties":{"noteIndex":0},"schema":"https://github.com/citation-style-language/schema/raw/master/csl-citation.json"}</w:instrText>
      </w:r>
      <w:r w:rsidR="00FE21CB">
        <w:rPr>
          <w:rStyle w:val="FootnoteReference"/>
          <w:sz w:val="24"/>
          <w:szCs w:val="24"/>
          <w:lang w:val="id-ID"/>
        </w:rPr>
        <w:fldChar w:fldCharType="separate"/>
      </w:r>
      <w:r w:rsidR="00FE21CB" w:rsidRPr="00FE21CB">
        <w:rPr>
          <w:noProof/>
          <w:sz w:val="24"/>
          <w:szCs w:val="24"/>
          <w:lang w:val="id-ID"/>
        </w:rPr>
        <w:t>(Pengadilan Negeri Magelang, n.d.)</w:t>
      </w:r>
      <w:r w:rsidR="00FE21CB">
        <w:rPr>
          <w:rStyle w:val="FootnoteReference"/>
          <w:sz w:val="24"/>
          <w:szCs w:val="24"/>
          <w:lang w:val="id-ID"/>
        </w:rPr>
        <w:fldChar w:fldCharType="end"/>
      </w:r>
      <w:r w:rsidR="009B7FD2" w:rsidRPr="000C7512">
        <w:rPr>
          <w:sz w:val="24"/>
          <w:szCs w:val="24"/>
          <w:lang w:val="id-ID"/>
        </w:rPr>
        <w:t xml:space="preserve">. </w:t>
      </w:r>
      <w:r w:rsidR="009B7FD2" w:rsidRPr="000C7512">
        <w:rPr>
          <w:sz w:val="24"/>
          <w:szCs w:val="24"/>
        </w:rPr>
        <w:t>Temuan ini menunjukan bahwa perkara ekonomi syariah yang proses penyelsaianya melalui jalur litigasi semuanya ditangani dan diselesaikan melalui pengadilan agama.</w:t>
      </w:r>
      <w:r w:rsidR="009B7FD2" w:rsidRPr="000C7512">
        <w:rPr>
          <w:sz w:val="24"/>
          <w:szCs w:val="24"/>
          <w:lang w:val="id-ID"/>
        </w:rPr>
        <w:t xml:space="preserve"> </w:t>
      </w:r>
    </w:p>
    <w:p w:rsidR="009B7FD2" w:rsidRPr="000C7512" w:rsidRDefault="000348EC" w:rsidP="000C7512">
      <w:pPr>
        <w:spacing w:line="360" w:lineRule="auto"/>
        <w:ind w:firstLine="426"/>
        <w:jc w:val="both"/>
        <w:rPr>
          <w:sz w:val="24"/>
          <w:szCs w:val="24"/>
        </w:rPr>
      </w:pPr>
      <w:r w:rsidRPr="000C7512">
        <w:rPr>
          <w:sz w:val="24"/>
          <w:szCs w:val="24"/>
          <w:lang w:val="id-ID"/>
        </w:rPr>
        <w:t>Dan perkara ekonomi syariah sesungguhnya selain melalui jalur litigasi, juga dapat dise</w:t>
      </w:r>
      <w:r w:rsidR="00A03182" w:rsidRPr="000C7512">
        <w:rPr>
          <w:sz w:val="24"/>
          <w:szCs w:val="24"/>
          <w:lang w:val="id-ID"/>
        </w:rPr>
        <w:t>lesaikan melalui jalan non-litigasi.</w:t>
      </w:r>
      <w:r w:rsidR="00A03182" w:rsidRPr="000C7512">
        <w:rPr>
          <w:sz w:val="24"/>
          <w:szCs w:val="24"/>
        </w:rPr>
        <w:t xml:space="preserve"> </w:t>
      </w:r>
      <w:r w:rsidR="009B7FD2" w:rsidRPr="000C7512">
        <w:rPr>
          <w:sz w:val="24"/>
          <w:szCs w:val="24"/>
          <w:lang w:val="id-ID"/>
        </w:rPr>
        <w:t>Hakim Pengadilan Agama Magelang, ketika diwawancari, menyatakan bahwa penyelesaian wanprestasi selain dibawa ke Pengadilan Agama, juga dapat dibawa ke Kantor Lelang atau menjual dibawah tangan, jika jaminan tersebut disertai dengan sertifikat yang kedudukannya setara dengan putusan hakim.</w:t>
      </w:r>
      <w:r w:rsidR="00A03182" w:rsidRPr="000C7512">
        <w:rPr>
          <w:sz w:val="24"/>
          <w:szCs w:val="24"/>
        </w:rPr>
        <w:t xml:space="preserve"> Ini juga menjadi alasan mengapa perkara ekonomi syariah yang dibawa ke pengadilan agama relative rendah (sedikit). Karena, pada umumnya LKS dan para nasabah mereka dapat menyelesaikan persoalan sengketa mereka dengan musyawarah kekeluargaan. </w:t>
      </w:r>
    </w:p>
    <w:p w:rsidR="009B7FD2" w:rsidRPr="000C7512" w:rsidRDefault="009B7FD2" w:rsidP="000C7512">
      <w:pPr>
        <w:spacing w:line="360" w:lineRule="auto"/>
        <w:ind w:firstLine="426"/>
        <w:jc w:val="both"/>
        <w:rPr>
          <w:sz w:val="24"/>
          <w:szCs w:val="24"/>
          <w:lang w:val="id-ID"/>
        </w:rPr>
      </w:pPr>
      <w:r w:rsidRPr="000C7512">
        <w:rPr>
          <w:sz w:val="24"/>
          <w:szCs w:val="24"/>
        </w:rPr>
        <w:t xml:space="preserve">Sedangkan proses eksekusi sita jaminan tanpa melalui jalur litigasi, dapat dilakukan dengan beberapa </w:t>
      </w:r>
      <w:proofErr w:type="gramStart"/>
      <w:r w:rsidRPr="000C7512">
        <w:rPr>
          <w:sz w:val="24"/>
          <w:szCs w:val="24"/>
        </w:rPr>
        <w:t>cara</w:t>
      </w:r>
      <w:proofErr w:type="gramEnd"/>
      <w:r w:rsidRPr="000C7512">
        <w:rPr>
          <w:sz w:val="24"/>
          <w:szCs w:val="24"/>
        </w:rPr>
        <w:t>. D</w:t>
      </w:r>
      <w:r w:rsidRPr="000C7512">
        <w:rPr>
          <w:sz w:val="24"/>
          <w:szCs w:val="24"/>
          <w:lang w:val="id-ID"/>
        </w:rPr>
        <w:t>ari</w:t>
      </w:r>
      <w:r w:rsidRPr="000C7512">
        <w:rPr>
          <w:sz w:val="24"/>
          <w:szCs w:val="24"/>
        </w:rPr>
        <w:t xml:space="preserve"> data yang diperoleh, LKS di Kota Magelang menggunakan jalur lelang dan penjualan asset berdasarkan akta yang dibuat di bawah </w:t>
      </w:r>
      <w:r w:rsidRPr="000C7512">
        <w:rPr>
          <w:sz w:val="24"/>
          <w:szCs w:val="24"/>
          <w:lang w:val="id-ID"/>
        </w:rPr>
        <w:t>tangan</w:t>
      </w:r>
      <w:r w:rsidRPr="000C7512">
        <w:rPr>
          <w:sz w:val="24"/>
          <w:szCs w:val="24"/>
        </w:rPr>
        <w:t xml:space="preserve">. Bagi LKS yang menggunakan </w:t>
      </w:r>
      <w:proofErr w:type="gramStart"/>
      <w:r w:rsidRPr="000C7512">
        <w:rPr>
          <w:sz w:val="24"/>
          <w:szCs w:val="24"/>
        </w:rPr>
        <w:t>cara</w:t>
      </w:r>
      <w:proofErr w:type="gramEnd"/>
      <w:r w:rsidRPr="000C7512">
        <w:rPr>
          <w:sz w:val="24"/>
          <w:szCs w:val="24"/>
        </w:rPr>
        <w:t xml:space="preserve"> lelang, mer</w:t>
      </w:r>
      <w:r w:rsidRPr="000C7512">
        <w:rPr>
          <w:sz w:val="24"/>
          <w:szCs w:val="24"/>
          <w:lang w:val="id-ID"/>
        </w:rPr>
        <w:t>e</w:t>
      </w:r>
      <w:r w:rsidRPr="000C7512">
        <w:rPr>
          <w:sz w:val="24"/>
          <w:szCs w:val="24"/>
        </w:rPr>
        <w:t>ka biasanya langsung datang ke Kantor Lelang yang berada di wilayahnya, dan untuk wilayah Magelang melalui balai lelang di Semarang (KPKNL).</w:t>
      </w:r>
      <w:r w:rsidRPr="000C7512">
        <w:rPr>
          <w:sz w:val="24"/>
          <w:szCs w:val="24"/>
          <w:lang w:val="id-ID"/>
        </w:rPr>
        <w:t xml:space="preserve"> Mereka akan mulai mendaftarkan sita jaminan dalam bentuk lelang, dengan syarat adanya</w:t>
      </w:r>
      <w:r w:rsidRPr="000C7512">
        <w:rPr>
          <w:sz w:val="24"/>
          <w:szCs w:val="24"/>
        </w:rPr>
        <w:t xml:space="preserve"> s</w:t>
      </w:r>
      <w:r w:rsidRPr="000C7512">
        <w:rPr>
          <w:sz w:val="24"/>
          <w:szCs w:val="24"/>
          <w:lang w:val="id-ID"/>
        </w:rPr>
        <w:t xml:space="preserve">ertifikat Akta </w:t>
      </w:r>
      <w:r w:rsidRPr="000C7512">
        <w:rPr>
          <w:sz w:val="24"/>
          <w:szCs w:val="24"/>
        </w:rPr>
        <w:t xml:space="preserve">Pemberian </w:t>
      </w:r>
      <w:r w:rsidRPr="000C7512">
        <w:rPr>
          <w:sz w:val="24"/>
          <w:szCs w:val="24"/>
          <w:lang w:val="id-ID"/>
        </w:rPr>
        <w:t>Hak Tanggungan</w:t>
      </w:r>
      <w:r w:rsidRPr="000C7512">
        <w:rPr>
          <w:sz w:val="24"/>
          <w:szCs w:val="24"/>
        </w:rPr>
        <w:t xml:space="preserve"> (APHT)</w:t>
      </w:r>
      <w:r w:rsidRPr="000C7512">
        <w:rPr>
          <w:sz w:val="24"/>
          <w:szCs w:val="24"/>
          <w:lang w:val="id-ID"/>
        </w:rPr>
        <w:t xml:space="preserve"> untuk sebuah tanah atau bangunan. Selanjutnya KP</w:t>
      </w:r>
      <w:r w:rsidRPr="000C7512">
        <w:rPr>
          <w:sz w:val="24"/>
          <w:szCs w:val="24"/>
        </w:rPr>
        <w:t>K</w:t>
      </w:r>
      <w:r w:rsidRPr="000C7512">
        <w:rPr>
          <w:sz w:val="24"/>
          <w:szCs w:val="24"/>
          <w:lang w:val="id-ID"/>
        </w:rPr>
        <w:t>NL akan memberikan berita acara kepada LKS dan masing-masing LKS akan memajang berita acara lelang tersebut di depan kantor masing-masing, sampai barang lelang tersebut terjual.</w:t>
      </w:r>
    </w:p>
    <w:p w:rsidR="009B7FD2" w:rsidRPr="000C7512" w:rsidRDefault="009B7FD2" w:rsidP="00FE21CB">
      <w:pPr>
        <w:spacing w:line="360" w:lineRule="auto"/>
        <w:ind w:firstLine="426"/>
        <w:jc w:val="both"/>
        <w:rPr>
          <w:sz w:val="24"/>
          <w:szCs w:val="24"/>
        </w:rPr>
      </w:pPr>
      <w:r w:rsidRPr="000C7512">
        <w:rPr>
          <w:sz w:val="24"/>
          <w:szCs w:val="24"/>
        </w:rPr>
        <w:t>LKS</w:t>
      </w:r>
      <w:r w:rsidRPr="000C7512">
        <w:rPr>
          <w:sz w:val="24"/>
          <w:szCs w:val="24"/>
          <w:lang w:val="id-ID"/>
        </w:rPr>
        <w:t xml:space="preserve"> yang menggunakan akta dibawah tangan, </w:t>
      </w:r>
      <w:proofErr w:type="gramStart"/>
      <w:r w:rsidRPr="000C7512">
        <w:rPr>
          <w:sz w:val="24"/>
          <w:szCs w:val="24"/>
          <w:lang w:val="id-ID"/>
        </w:rPr>
        <w:t>akan</w:t>
      </w:r>
      <w:proofErr w:type="gramEnd"/>
      <w:r w:rsidRPr="000C7512">
        <w:rPr>
          <w:sz w:val="24"/>
          <w:szCs w:val="24"/>
          <w:lang w:val="id-ID"/>
        </w:rPr>
        <w:t xml:space="preserve"> melakukan penjualan tanpa melalui pihak ketiga</w:t>
      </w:r>
      <w:r w:rsidRPr="000C7512">
        <w:rPr>
          <w:sz w:val="24"/>
          <w:szCs w:val="24"/>
        </w:rPr>
        <w:t>, seperti</w:t>
      </w:r>
      <w:r w:rsidRPr="000C7512">
        <w:rPr>
          <w:sz w:val="24"/>
          <w:szCs w:val="24"/>
          <w:lang w:val="id-ID"/>
        </w:rPr>
        <w:t xml:space="preserve"> lembaga lelang maupun pengadilan.  Mereka akan melakukan penyitaan jaminan dengan aturan dan cara mereka masing-masing. Yang dimaksudkan dengan cara masing-masing adalah pihak LKS</w:t>
      </w:r>
      <w:r w:rsidR="00101AD5" w:rsidRPr="000C7512">
        <w:rPr>
          <w:sz w:val="24"/>
          <w:szCs w:val="24"/>
          <w:lang w:val="id-ID"/>
        </w:rPr>
        <w:t xml:space="preserve"> </w:t>
      </w:r>
      <w:r w:rsidRPr="000C7512">
        <w:rPr>
          <w:sz w:val="24"/>
          <w:szCs w:val="24"/>
          <w:lang w:val="id-ID"/>
        </w:rPr>
        <w:t xml:space="preserve">melakukan pendekatan kekeluargaan, bermusyawarah mencari jalan terbaik, kemudian pihak nasabah merelakan asset jaminan yang diberikan ke LKS untuk dilelang. Seperti contoh KSPPS BMT BIMA yang melakukan penyitaan jaminan </w:t>
      </w:r>
      <w:r w:rsidRPr="000C7512">
        <w:rPr>
          <w:sz w:val="24"/>
          <w:szCs w:val="24"/>
          <w:lang w:val="id-ID"/>
        </w:rPr>
        <w:lastRenderedPageBreak/>
        <w:t xml:space="preserve">dengan aturan yang dibuat sendiri, baik berupa menjual langsung kepada orang yang sudah dikenal maupun </w:t>
      </w:r>
      <w:r w:rsidRPr="000C7512">
        <w:rPr>
          <w:sz w:val="24"/>
          <w:szCs w:val="24"/>
        </w:rPr>
        <w:t xml:space="preserve">dengan cara </w:t>
      </w:r>
      <w:r w:rsidRPr="000C7512">
        <w:rPr>
          <w:sz w:val="24"/>
          <w:szCs w:val="24"/>
          <w:lang w:val="id-ID"/>
        </w:rPr>
        <w:t xml:space="preserve">melelang </w:t>
      </w:r>
      <w:r w:rsidRPr="000C7512">
        <w:rPr>
          <w:sz w:val="24"/>
          <w:szCs w:val="24"/>
        </w:rPr>
        <w:t xml:space="preserve">jaminan </w:t>
      </w:r>
      <w:r w:rsidRPr="000C7512">
        <w:rPr>
          <w:sz w:val="24"/>
          <w:szCs w:val="24"/>
          <w:lang w:val="id-ID"/>
        </w:rPr>
        <w:t>di papan pengumuman yang ada.</w:t>
      </w:r>
      <w:r w:rsidRPr="000C7512">
        <w:rPr>
          <w:sz w:val="24"/>
          <w:szCs w:val="24"/>
        </w:rPr>
        <w:t xml:space="preserve"> Berdasarkan penelitian Musyfikah Ilyas, bahwa Musyawarah merupakan instrument yang efektif untuk penyelesaian perkara</w:t>
      </w:r>
      <w:r w:rsidR="00FE21CB">
        <w:rPr>
          <w:rStyle w:val="FootnoteReference"/>
          <w:sz w:val="24"/>
          <w:szCs w:val="24"/>
        </w:rPr>
        <w:fldChar w:fldCharType="begin" w:fldLock="1"/>
      </w:r>
      <w:r w:rsidR="00FE21CB">
        <w:rPr>
          <w:sz w:val="24"/>
          <w:szCs w:val="24"/>
        </w:rPr>
        <w:instrText>ADDIN CSL_CITATION {"citationItems":[{"id":"ITEM-1","itemData":{"author":[{"dropping-particle":"","family":"Ilyas","given":"Musyfikah","non-dropping-particle":"","parse-names":false,"suffix":""}],"container-title":"al-Qadau: Jurnal Peradilan dan Hukum Keluarga Islam","id":"ITEM-1","issue":"2","issued":{"date-parts":[["2018"]]},"page":"227-236","title":"Tinjauan Hukum Islam terhadap Musyawarah dalam Penyelesaian Sengketa Ekonomi Syariah","type":"article-journal","volume":"5"},"uris":["http://www.mendeley.com/documents/?uuid=a67f7572-bd1c-4bd3-9177-45c623949066"]}],"mendeley":{"formattedCitation":"(Ilyas, 2018)","plainTextFormattedCitation":"(Ilyas, 2018)","previouslyFormattedCitation":"Musyfikah Ilyas, ‘Tinjauan Hukum Islam Terhadap Musyawarah Dalam Penyelesaian Sengketa Ekonomi Syariah’, &lt;i&gt;Al-Qadau: Jurnal Peradilan Dan Hukum Keluarga Islam&lt;/i&gt;, 5.2 (2018), 227–36 &lt;http://journal.uin-alauddin.ac.id/index.php/al-qadau/article/view/7104&gt;."},"properties":{"noteIndex":0},"schema":"https://github.com/citation-style-language/schema/raw/master/csl-citation.json"}</w:instrText>
      </w:r>
      <w:r w:rsidR="00FE21CB">
        <w:rPr>
          <w:rStyle w:val="FootnoteReference"/>
          <w:sz w:val="24"/>
          <w:szCs w:val="24"/>
        </w:rPr>
        <w:fldChar w:fldCharType="separate"/>
      </w:r>
      <w:r w:rsidR="00FE21CB" w:rsidRPr="00FE21CB">
        <w:rPr>
          <w:bCs/>
          <w:noProof/>
          <w:sz w:val="24"/>
          <w:szCs w:val="24"/>
        </w:rPr>
        <w:t>(Ilyas, 2018)</w:t>
      </w:r>
      <w:r w:rsidR="00FE21CB">
        <w:rPr>
          <w:rStyle w:val="FootnoteReference"/>
          <w:sz w:val="24"/>
          <w:szCs w:val="24"/>
        </w:rPr>
        <w:fldChar w:fldCharType="end"/>
      </w:r>
      <w:r w:rsidRPr="000C7512">
        <w:rPr>
          <w:sz w:val="24"/>
          <w:szCs w:val="24"/>
        </w:rPr>
        <w:t xml:space="preserve">. Dan menurut perspektif Noviyanti, bahwa musyawarah merupakan tradisi </w:t>
      </w:r>
      <w:r w:rsidRPr="000C7512">
        <w:rPr>
          <w:i/>
          <w:iCs/>
          <w:sz w:val="24"/>
          <w:szCs w:val="24"/>
        </w:rPr>
        <w:t>al-turats al-islami</w:t>
      </w:r>
      <w:r w:rsidRPr="000C7512">
        <w:rPr>
          <w:sz w:val="24"/>
          <w:szCs w:val="24"/>
        </w:rPr>
        <w:t xml:space="preserve"> (warisan klasik islam) yang masih relevan untuk penyelesaian perakara</w:t>
      </w:r>
      <w:r w:rsidR="00FE21CB">
        <w:rPr>
          <w:rStyle w:val="FootnoteReference"/>
          <w:sz w:val="24"/>
          <w:szCs w:val="24"/>
        </w:rPr>
        <w:fldChar w:fldCharType="begin" w:fldLock="1"/>
      </w:r>
      <w:r w:rsidR="00FE21CB">
        <w:rPr>
          <w:sz w:val="24"/>
          <w:szCs w:val="24"/>
        </w:rPr>
        <w:instrText>ADDIN CSL_CITATION {"citationItems":[{"id":"ITEM-1","itemData":{"author":[{"dropping-particle":"","family":"Noviyanti","given":"Ririn","non-dropping-particle":"","parse-names":false,"suffix":""}],"container-title":"Mahakim: Journal of Islamic Family Law","id":"ITEM-1","issue":"2","issued":{"date-parts":[["2017"]]},"page":"1-17","title":"Penyelesaian Sengketa Non-Litigasi Dalam Sejarah Peradaban Islam","type":"article-journal","volume":"1"},"uris":["http://www.mendeley.com/documents/?uuid=e00086d2-352a-4af4-8aca-89a299d8170c"]}],"mendeley":{"formattedCitation":"(Noviyanti, 2017)","plainTextFormattedCitation":"(Noviyanti, 2017)","previouslyFormattedCitation":"Noviyanti."},"properties":{"noteIndex":0},"schema":"https://github.com/citation-style-language/schema/raw/master/csl-citation.json"}</w:instrText>
      </w:r>
      <w:r w:rsidR="00FE21CB">
        <w:rPr>
          <w:rStyle w:val="FootnoteReference"/>
          <w:sz w:val="24"/>
          <w:szCs w:val="24"/>
        </w:rPr>
        <w:fldChar w:fldCharType="separate"/>
      </w:r>
      <w:r w:rsidR="00FE21CB" w:rsidRPr="00FE21CB">
        <w:rPr>
          <w:noProof/>
          <w:sz w:val="24"/>
          <w:szCs w:val="24"/>
        </w:rPr>
        <w:t>(Noviyanti, 2017)</w:t>
      </w:r>
      <w:r w:rsidR="00FE21CB">
        <w:rPr>
          <w:rStyle w:val="FootnoteReference"/>
          <w:sz w:val="24"/>
          <w:szCs w:val="24"/>
        </w:rPr>
        <w:fldChar w:fldCharType="end"/>
      </w:r>
      <w:r w:rsidRPr="000C7512">
        <w:rPr>
          <w:sz w:val="24"/>
          <w:szCs w:val="24"/>
        </w:rPr>
        <w:t xml:space="preserve">. </w:t>
      </w:r>
    </w:p>
    <w:p w:rsidR="00563D90" w:rsidRPr="000C7512" w:rsidRDefault="00563D90" w:rsidP="000C7512">
      <w:pPr>
        <w:pStyle w:val="Heading3"/>
        <w:numPr>
          <w:ilvl w:val="0"/>
          <w:numId w:val="12"/>
        </w:numPr>
        <w:spacing w:line="360" w:lineRule="auto"/>
        <w:jc w:val="both"/>
        <w:rPr>
          <w:rFonts w:ascii="Times New Roman" w:hAnsi="Times New Roman" w:cs="Times New Roman"/>
          <w:b/>
          <w:bCs/>
          <w:color w:val="000000" w:themeColor="text1"/>
        </w:rPr>
      </w:pPr>
      <w:r w:rsidRPr="000C7512">
        <w:rPr>
          <w:rFonts w:ascii="Times New Roman" w:hAnsi="Times New Roman" w:cs="Times New Roman"/>
          <w:b/>
          <w:bCs/>
          <w:color w:val="000000" w:themeColor="text1"/>
        </w:rPr>
        <w:t>Faktor-Faktor LKS Memilih Jalur non Litigasi</w:t>
      </w:r>
    </w:p>
    <w:p w:rsidR="00563D90" w:rsidRPr="000C7512" w:rsidRDefault="00C00BD4" w:rsidP="000C7512">
      <w:pPr>
        <w:spacing w:line="360" w:lineRule="auto"/>
        <w:ind w:firstLine="426"/>
        <w:jc w:val="both"/>
        <w:rPr>
          <w:sz w:val="24"/>
          <w:szCs w:val="24"/>
        </w:rPr>
      </w:pPr>
      <w:r w:rsidRPr="000C7512">
        <w:rPr>
          <w:sz w:val="24"/>
          <w:szCs w:val="24"/>
        </w:rPr>
        <w:t xml:space="preserve">Berdasarkan </w:t>
      </w:r>
      <w:r w:rsidR="00563D90" w:rsidRPr="000C7512">
        <w:rPr>
          <w:sz w:val="24"/>
          <w:szCs w:val="24"/>
        </w:rPr>
        <w:t xml:space="preserve">wawancara </w:t>
      </w:r>
      <w:r w:rsidRPr="000C7512">
        <w:rPr>
          <w:sz w:val="24"/>
          <w:szCs w:val="24"/>
        </w:rPr>
        <w:t xml:space="preserve">kepada </w:t>
      </w:r>
      <w:r w:rsidR="00563D90" w:rsidRPr="000C7512">
        <w:rPr>
          <w:sz w:val="24"/>
          <w:szCs w:val="24"/>
        </w:rPr>
        <w:t>salah satu karyawan dari masing-masing Lembaga Keuangan Syariah di Kota Magelang</w:t>
      </w:r>
      <w:r w:rsidRPr="000C7512">
        <w:rPr>
          <w:sz w:val="24"/>
          <w:szCs w:val="24"/>
        </w:rPr>
        <w:t>, didapatkan bahwa pada umumnya LKS</w:t>
      </w:r>
      <w:r w:rsidR="00E00EFF" w:rsidRPr="000C7512">
        <w:rPr>
          <w:sz w:val="24"/>
          <w:szCs w:val="24"/>
        </w:rPr>
        <w:t xml:space="preserve"> </w:t>
      </w:r>
      <w:r w:rsidRPr="000C7512">
        <w:rPr>
          <w:sz w:val="24"/>
          <w:szCs w:val="24"/>
        </w:rPr>
        <w:t xml:space="preserve">menyelesaikan </w:t>
      </w:r>
      <w:r w:rsidR="00E00EFF" w:rsidRPr="000C7512">
        <w:rPr>
          <w:sz w:val="24"/>
          <w:szCs w:val="24"/>
        </w:rPr>
        <w:t xml:space="preserve">persoalan wansprestasi nasabah dengan </w:t>
      </w:r>
      <w:r w:rsidRPr="000C7512">
        <w:rPr>
          <w:sz w:val="24"/>
          <w:szCs w:val="24"/>
        </w:rPr>
        <w:t>eksekusi sita jaminan dengan jalur non-litigasi atau menyelesaikan tanpa melibatkan pengadilan didalamnya</w:t>
      </w:r>
      <w:r w:rsidR="00E00EFF" w:rsidRPr="000C7512">
        <w:rPr>
          <w:sz w:val="24"/>
          <w:szCs w:val="24"/>
        </w:rPr>
        <w:t xml:space="preserve">. </w:t>
      </w:r>
      <w:r w:rsidR="00AE7950" w:rsidRPr="000C7512">
        <w:rPr>
          <w:sz w:val="24"/>
          <w:szCs w:val="24"/>
        </w:rPr>
        <w:t>Penyelesaian non</w:t>
      </w:r>
      <w:r w:rsidR="00E00EFF" w:rsidRPr="000C7512">
        <w:rPr>
          <w:sz w:val="24"/>
          <w:szCs w:val="24"/>
        </w:rPr>
        <w:t xml:space="preserve">-litigasi ditempuh oleh LKS karena lebih simple dan murah. Dalam perspektif Eko Sulistiyono, </w:t>
      </w:r>
      <w:r w:rsidR="00563D90" w:rsidRPr="000C7512">
        <w:rPr>
          <w:sz w:val="24"/>
          <w:szCs w:val="24"/>
        </w:rPr>
        <w:t>Pimpinan Cabang Pembantu Bank BRI Syariah Kota Magelang</w:t>
      </w:r>
      <w:r w:rsidR="00E00EFF" w:rsidRPr="000C7512">
        <w:rPr>
          <w:sz w:val="24"/>
          <w:szCs w:val="24"/>
        </w:rPr>
        <w:t xml:space="preserve"> (wawancara </w:t>
      </w:r>
      <w:r w:rsidR="00563D90" w:rsidRPr="000C7512">
        <w:rPr>
          <w:sz w:val="24"/>
          <w:szCs w:val="24"/>
        </w:rPr>
        <w:t>pada 20 April 2019</w:t>
      </w:r>
      <w:r w:rsidR="00E00EFF" w:rsidRPr="000C7512">
        <w:rPr>
          <w:sz w:val="24"/>
          <w:szCs w:val="24"/>
        </w:rPr>
        <w:t xml:space="preserve">), dan </w:t>
      </w:r>
      <w:r w:rsidR="00563D90" w:rsidRPr="000C7512">
        <w:rPr>
          <w:sz w:val="24"/>
          <w:szCs w:val="24"/>
        </w:rPr>
        <w:t>Khotib Ansori</w:t>
      </w:r>
      <w:r w:rsidR="00E00EFF" w:rsidRPr="000C7512">
        <w:rPr>
          <w:sz w:val="24"/>
          <w:szCs w:val="24"/>
        </w:rPr>
        <w:t>,</w:t>
      </w:r>
      <w:r w:rsidR="00563D90" w:rsidRPr="000C7512">
        <w:rPr>
          <w:sz w:val="24"/>
          <w:szCs w:val="24"/>
        </w:rPr>
        <w:t xml:space="preserve"> </w:t>
      </w:r>
      <w:r w:rsidR="00E00EFF" w:rsidRPr="000C7512">
        <w:rPr>
          <w:sz w:val="24"/>
          <w:szCs w:val="24"/>
        </w:rPr>
        <w:t>m</w:t>
      </w:r>
      <w:r w:rsidR="00563D90" w:rsidRPr="000C7512">
        <w:rPr>
          <w:sz w:val="24"/>
          <w:szCs w:val="24"/>
        </w:rPr>
        <w:t>anager Divisi Kelembagaan dan Marketing di KSPPS BMT BIMA</w:t>
      </w:r>
      <w:r w:rsidR="00E00EFF" w:rsidRPr="000C7512">
        <w:rPr>
          <w:sz w:val="24"/>
          <w:szCs w:val="24"/>
        </w:rPr>
        <w:t>, (wawancara</w:t>
      </w:r>
      <w:r w:rsidR="00563D90" w:rsidRPr="000C7512">
        <w:rPr>
          <w:sz w:val="24"/>
          <w:szCs w:val="24"/>
        </w:rPr>
        <w:t xml:space="preserve"> pada 24 Mei 2019</w:t>
      </w:r>
      <w:r w:rsidR="00E00EFF" w:rsidRPr="000C7512">
        <w:rPr>
          <w:sz w:val="24"/>
          <w:szCs w:val="24"/>
        </w:rPr>
        <w:t>), men</w:t>
      </w:r>
      <w:r w:rsidR="00B51EC3" w:rsidRPr="000C7512">
        <w:rPr>
          <w:sz w:val="24"/>
          <w:szCs w:val="24"/>
        </w:rPr>
        <w:t>g</w:t>
      </w:r>
      <w:r w:rsidR="00E00EFF" w:rsidRPr="000C7512">
        <w:rPr>
          <w:sz w:val="24"/>
          <w:szCs w:val="24"/>
        </w:rPr>
        <w:t>ungkapkan beberapa alasan terhadap pilihan penyelesaian melalui non-litigasi, yaitu:</w:t>
      </w:r>
      <w:r w:rsidR="00563D90" w:rsidRPr="000C7512">
        <w:rPr>
          <w:sz w:val="24"/>
          <w:szCs w:val="24"/>
        </w:rPr>
        <w:t xml:space="preserve"> </w:t>
      </w:r>
    </w:p>
    <w:p w:rsidR="00563D90" w:rsidRPr="000C7512" w:rsidRDefault="00563D90" w:rsidP="000C7512">
      <w:pPr>
        <w:pStyle w:val="ListParagraph"/>
        <w:widowControl/>
        <w:numPr>
          <w:ilvl w:val="0"/>
          <w:numId w:val="14"/>
        </w:numPr>
        <w:autoSpaceDE/>
        <w:autoSpaceDN/>
        <w:spacing w:after="200" w:line="360" w:lineRule="auto"/>
        <w:jc w:val="both"/>
        <w:rPr>
          <w:sz w:val="24"/>
          <w:szCs w:val="24"/>
        </w:rPr>
      </w:pPr>
      <w:r w:rsidRPr="000C7512">
        <w:rPr>
          <w:sz w:val="24"/>
          <w:szCs w:val="24"/>
        </w:rPr>
        <w:t>Proses mediasi di Pengadilan Agama</w:t>
      </w:r>
      <w:r w:rsidR="00B51EC3" w:rsidRPr="000C7512">
        <w:rPr>
          <w:sz w:val="24"/>
          <w:szCs w:val="24"/>
        </w:rPr>
        <w:t>, memb</w:t>
      </w:r>
      <w:r w:rsidRPr="000C7512">
        <w:rPr>
          <w:sz w:val="24"/>
          <w:szCs w:val="24"/>
        </w:rPr>
        <w:t>utuh</w:t>
      </w:r>
      <w:r w:rsidR="00B51EC3" w:rsidRPr="000C7512">
        <w:rPr>
          <w:sz w:val="24"/>
          <w:szCs w:val="24"/>
        </w:rPr>
        <w:t>kan</w:t>
      </w:r>
      <w:r w:rsidRPr="000C7512">
        <w:rPr>
          <w:sz w:val="24"/>
          <w:szCs w:val="24"/>
        </w:rPr>
        <w:t xml:space="preserve"> waktu yang lama untuk memutuskan gugatan yang diajukan, akibatnya membuat Bank merasa rugi.</w:t>
      </w:r>
    </w:p>
    <w:p w:rsidR="00563D90" w:rsidRPr="000C7512" w:rsidRDefault="00563D90" w:rsidP="000C7512">
      <w:pPr>
        <w:pStyle w:val="ListParagraph"/>
        <w:numPr>
          <w:ilvl w:val="0"/>
          <w:numId w:val="14"/>
        </w:numPr>
        <w:spacing w:line="360" w:lineRule="auto"/>
        <w:jc w:val="both"/>
        <w:rPr>
          <w:sz w:val="24"/>
          <w:szCs w:val="24"/>
        </w:rPr>
      </w:pPr>
      <w:r w:rsidRPr="000C7512">
        <w:rPr>
          <w:sz w:val="24"/>
          <w:szCs w:val="24"/>
        </w:rPr>
        <w:t xml:space="preserve">Pemahaman UU yang mengatur, </w:t>
      </w:r>
      <w:proofErr w:type="gramStart"/>
      <w:r w:rsidRPr="000C7512">
        <w:rPr>
          <w:sz w:val="24"/>
          <w:szCs w:val="24"/>
        </w:rPr>
        <w:t>yaitu  bahwa</w:t>
      </w:r>
      <w:proofErr w:type="gramEnd"/>
      <w:r w:rsidRPr="000C7512">
        <w:rPr>
          <w:sz w:val="24"/>
          <w:szCs w:val="24"/>
        </w:rPr>
        <w:t xml:space="preserve"> penyelesaian sengketa ekonomi syariah tidak mesti dilakukan di Pengadian Agama, tetapi ada jalur lain yang bisa ditempuh, seperti musyawarah kekeluargaan dan penjualan asset jaminan melalui balai lelang.</w:t>
      </w:r>
    </w:p>
    <w:p w:rsidR="00563D90" w:rsidRPr="000C7512" w:rsidRDefault="00563D90" w:rsidP="000C7512">
      <w:pPr>
        <w:pStyle w:val="ListParagraph"/>
        <w:widowControl/>
        <w:numPr>
          <w:ilvl w:val="0"/>
          <w:numId w:val="14"/>
        </w:numPr>
        <w:autoSpaceDE/>
        <w:autoSpaceDN/>
        <w:spacing w:after="200" w:line="360" w:lineRule="auto"/>
        <w:rPr>
          <w:sz w:val="24"/>
          <w:szCs w:val="24"/>
        </w:rPr>
      </w:pPr>
      <w:r w:rsidRPr="000C7512">
        <w:rPr>
          <w:sz w:val="24"/>
          <w:szCs w:val="24"/>
        </w:rPr>
        <w:t>Mahalnya biaya perkara untuk proses penyelesaian sengketa di pengadilan.</w:t>
      </w:r>
    </w:p>
    <w:p w:rsidR="00563D90" w:rsidRPr="000C7512" w:rsidRDefault="00563D90" w:rsidP="000C7512">
      <w:pPr>
        <w:pStyle w:val="ListParagraph"/>
        <w:widowControl/>
        <w:numPr>
          <w:ilvl w:val="0"/>
          <w:numId w:val="14"/>
        </w:numPr>
        <w:autoSpaceDE/>
        <w:autoSpaceDN/>
        <w:spacing w:after="200" w:line="360" w:lineRule="auto"/>
        <w:rPr>
          <w:sz w:val="24"/>
          <w:szCs w:val="24"/>
        </w:rPr>
      </w:pPr>
      <w:r w:rsidRPr="000C7512">
        <w:rPr>
          <w:sz w:val="24"/>
          <w:szCs w:val="24"/>
        </w:rPr>
        <w:t>Membutuhkan waktu yang lama untuk mendapat persetujuan sita jaminan.</w:t>
      </w:r>
    </w:p>
    <w:p w:rsidR="00563D90" w:rsidRPr="000C7512" w:rsidRDefault="00563D90" w:rsidP="00FE21CB">
      <w:pPr>
        <w:pStyle w:val="ListParagraph"/>
        <w:numPr>
          <w:ilvl w:val="0"/>
          <w:numId w:val="14"/>
        </w:numPr>
        <w:spacing w:line="360" w:lineRule="auto"/>
        <w:jc w:val="both"/>
        <w:rPr>
          <w:sz w:val="24"/>
          <w:szCs w:val="24"/>
          <w:lang w:val="id-ID"/>
        </w:rPr>
      </w:pPr>
      <w:r w:rsidRPr="000C7512">
        <w:rPr>
          <w:sz w:val="24"/>
          <w:szCs w:val="24"/>
        </w:rPr>
        <w:t>Belum adanya rasa kepercayaan terhadap sumber daya manusia yang ada di Pengadilan Agama</w:t>
      </w:r>
      <w:r w:rsidR="00FE21CB">
        <w:rPr>
          <w:sz w:val="24"/>
          <w:szCs w:val="24"/>
        </w:rPr>
        <w:t>.</w:t>
      </w:r>
    </w:p>
    <w:p w:rsidR="00563D90" w:rsidRPr="000C7512" w:rsidRDefault="00563D90" w:rsidP="000C7512">
      <w:pPr>
        <w:spacing w:line="360" w:lineRule="auto"/>
        <w:ind w:firstLine="426"/>
        <w:jc w:val="both"/>
        <w:rPr>
          <w:sz w:val="24"/>
          <w:szCs w:val="24"/>
          <w:lang w:val="id-ID"/>
        </w:rPr>
      </w:pPr>
    </w:p>
    <w:p w:rsidR="00563D90" w:rsidRPr="000C7512" w:rsidRDefault="00563D90" w:rsidP="000C7512">
      <w:pPr>
        <w:spacing w:line="360" w:lineRule="auto"/>
        <w:ind w:firstLine="426"/>
        <w:jc w:val="both"/>
        <w:rPr>
          <w:sz w:val="24"/>
          <w:szCs w:val="24"/>
        </w:rPr>
      </w:pPr>
      <w:r w:rsidRPr="000C7512">
        <w:rPr>
          <w:sz w:val="24"/>
          <w:szCs w:val="24"/>
          <w:lang w:val="id-ID"/>
        </w:rPr>
        <w:t xml:space="preserve">Dari data tersebut, bahwa baik bank syariah ataupun BMT berpendapat proses penyelesaian sengketa di pengadilan agama membutuhkan waktu yang lama. </w:t>
      </w:r>
      <w:r w:rsidRPr="000C7512">
        <w:rPr>
          <w:sz w:val="24"/>
          <w:szCs w:val="24"/>
        </w:rPr>
        <w:t xml:space="preserve">Dengan demikian </w:t>
      </w:r>
      <w:r w:rsidRPr="000C7512">
        <w:rPr>
          <w:sz w:val="24"/>
          <w:szCs w:val="24"/>
          <w:lang w:val="id-ID"/>
        </w:rPr>
        <w:t xml:space="preserve">eksekusi sita jaminan </w:t>
      </w:r>
      <w:r w:rsidRPr="000C7512">
        <w:rPr>
          <w:sz w:val="24"/>
          <w:szCs w:val="24"/>
        </w:rPr>
        <w:t>tidak dilakukan melalui proses litigasi dengan penetapan oleh</w:t>
      </w:r>
      <w:r w:rsidRPr="000C7512">
        <w:rPr>
          <w:sz w:val="24"/>
          <w:szCs w:val="24"/>
          <w:lang w:val="id-ID"/>
        </w:rPr>
        <w:t xml:space="preserve"> Pengadilan Agama</w:t>
      </w:r>
      <w:r w:rsidRPr="000C7512">
        <w:rPr>
          <w:sz w:val="24"/>
          <w:szCs w:val="24"/>
        </w:rPr>
        <w:t>. Dan mereka mencari jalan lain yang memungkinkan untuk ditempuh dalam rangka untuk penyelsaian sengketa ekonomi syariah, seperti musyawarah dan penjualan asset yang dijaminkan itu melalui balai lelang. Disamping itu, biaya perkara yang tidak murah dalam beracara di pengadilan juga menjadi alasan lain bagi BMT tidak mel</w:t>
      </w:r>
      <w:r w:rsidRPr="000C7512">
        <w:rPr>
          <w:sz w:val="24"/>
          <w:szCs w:val="24"/>
          <w:lang w:val="id-ID"/>
        </w:rPr>
        <w:t>a</w:t>
      </w:r>
      <w:r w:rsidRPr="000C7512">
        <w:rPr>
          <w:sz w:val="24"/>
          <w:szCs w:val="24"/>
        </w:rPr>
        <w:t>k</w:t>
      </w:r>
      <w:r w:rsidRPr="000C7512">
        <w:rPr>
          <w:sz w:val="24"/>
          <w:szCs w:val="24"/>
          <w:lang w:val="id-ID"/>
        </w:rPr>
        <w:t>u</w:t>
      </w:r>
      <w:r w:rsidRPr="000C7512">
        <w:rPr>
          <w:sz w:val="24"/>
          <w:szCs w:val="24"/>
        </w:rPr>
        <w:t xml:space="preserve">kan penyelesaian </w:t>
      </w:r>
      <w:r w:rsidRPr="000C7512">
        <w:rPr>
          <w:sz w:val="24"/>
          <w:szCs w:val="24"/>
        </w:rPr>
        <w:lastRenderedPageBreak/>
        <w:t xml:space="preserve">sengketa ekonomi syariah melalui pengadilan. Dan alasan lain bagi LKS adalah belum percaya sepenuhnya terhadap kompetensi hakim dalam memutus perkara ekonomi syariah. Dilihat dari sisi waktu, penanganan perkara sengketa ekonomi syariah di pengadilan agama memang relative baru, sehingga image serta asumsi masyarakat tentang pengadilan agama masih berkutat pada hukum keluarga, seperti perkara perceraian bukan perkara sengketa ekonomi.  </w:t>
      </w:r>
    </w:p>
    <w:p w:rsidR="00563D90" w:rsidRPr="000C7512" w:rsidRDefault="00563D90" w:rsidP="000C7512">
      <w:pPr>
        <w:spacing w:line="360" w:lineRule="auto"/>
        <w:ind w:firstLine="426"/>
        <w:jc w:val="both"/>
        <w:rPr>
          <w:sz w:val="24"/>
          <w:szCs w:val="24"/>
          <w:lang w:val="id-ID"/>
        </w:rPr>
      </w:pPr>
      <w:r w:rsidRPr="000C7512">
        <w:rPr>
          <w:sz w:val="24"/>
          <w:szCs w:val="24"/>
          <w:lang w:val="id-ID"/>
        </w:rPr>
        <w:t xml:space="preserve">Selain itu, hasil wawancara dengan Hakim Pengadilan Agama Magelang, faktor yang menyebabkan LKS di Kota Magelang tidak banyak melakukan sita jaminannya ke Pengadilan Agama Magelang, adalah wilayah Kota Magelang yang kecil, hanya tiga kecamatan didalamnya. Karena dari perkara yang masuk ke Pengadilan Agama Magelang, kebanyakan mereka berasal dari luar Kota Magelang, </w:t>
      </w:r>
      <w:r w:rsidRPr="000C7512">
        <w:rPr>
          <w:sz w:val="24"/>
          <w:szCs w:val="24"/>
        </w:rPr>
        <w:t xml:space="preserve">seperti </w:t>
      </w:r>
      <w:r w:rsidRPr="000C7512">
        <w:rPr>
          <w:sz w:val="24"/>
          <w:szCs w:val="24"/>
          <w:lang w:val="id-ID"/>
        </w:rPr>
        <w:t xml:space="preserve">dari Kabupaten Magelang dan sekitarnya. Faktor lain, karena adanya sertifikat yang sama kedudukannya dengan putusan Pengadilan Agama, </w:t>
      </w:r>
      <w:r w:rsidRPr="000C7512">
        <w:rPr>
          <w:sz w:val="24"/>
          <w:szCs w:val="24"/>
        </w:rPr>
        <w:t xml:space="preserve">yang </w:t>
      </w:r>
      <w:r w:rsidRPr="000C7512">
        <w:rPr>
          <w:sz w:val="24"/>
          <w:szCs w:val="24"/>
          <w:lang w:val="id-ID"/>
        </w:rPr>
        <w:t xml:space="preserve">membuat  LKS </w:t>
      </w:r>
      <w:r w:rsidRPr="000C7512">
        <w:rPr>
          <w:sz w:val="24"/>
          <w:szCs w:val="24"/>
        </w:rPr>
        <w:t xml:space="preserve">tidak </w:t>
      </w:r>
      <w:r w:rsidRPr="000C7512">
        <w:rPr>
          <w:sz w:val="24"/>
          <w:szCs w:val="24"/>
          <w:lang w:val="id-ID"/>
        </w:rPr>
        <w:t>mendaftarkan gugatan wanprestasinya ke Pengadilan Agama Magelang.</w:t>
      </w:r>
    </w:p>
    <w:p w:rsidR="00563D90" w:rsidRPr="000C7512" w:rsidRDefault="00563D90" w:rsidP="000C7512">
      <w:pPr>
        <w:spacing w:line="360" w:lineRule="auto"/>
        <w:ind w:firstLine="426"/>
        <w:jc w:val="both"/>
        <w:rPr>
          <w:sz w:val="24"/>
          <w:szCs w:val="24"/>
          <w:lang w:val="id-ID"/>
        </w:rPr>
      </w:pPr>
    </w:p>
    <w:p w:rsidR="00563D90" w:rsidRPr="000C7512" w:rsidRDefault="00563D90" w:rsidP="00B274B2">
      <w:pPr>
        <w:pStyle w:val="Heading2"/>
        <w:spacing w:line="360" w:lineRule="auto"/>
        <w:rPr>
          <w:lang w:val="id-ID"/>
        </w:rPr>
      </w:pPr>
      <w:r w:rsidRPr="000C7512">
        <w:rPr>
          <w:lang w:val="id-ID"/>
        </w:rPr>
        <w:t>KESIMPULAN</w:t>
      </w:r>
    </w:p>
    <w:p w:rsidR="00582121" w:rsidRPr="000C7512" w:rsidRDefault="00563D90" w:rsidP="00D148D0">
      <w:pPr>
        <w:spacing w:line="360" w:lineRule="auto"/>
        <w:ind w:firstLine="426"/>
        <w:jc w:val="both"/>
        <w:rPr>
          <w:sz w:val="24"/>
          <w:szCs w:val="24"/>
          <w:lang w:val="id-ID"/>
        </w:rPr>
      </w:pPr>
      <w:r w:rsidRPr="000C7512">
        <w:rPr>
          <w:sz w:val="24"/>
          <w:szCs w:val="24"/>
          <w:lang w:val="id-ID"/>
        </w:rPr>
        <w:t xml:space="preserve">Penyelesaian perkara ekonomi syariah lembaga ekonomi syariah di Kota Magelang ada yang menggunakan jalur litigasi pengadilan dan non litigasi. Lembaga Keuangan Syariah (LKS) di Kota Magelang menggunakan jalur non-litigasi </w:t>
      </w:r>
      <w:r w:rsidRPr="000C7512">
        <w:rPr>
          <w:sz w:val="24"/>
          <w:szCs w:val="24"/>
        </w:rPr>
        <w:t>dalam p</w:t>
      </w:r>
      <w:r w:rsidRPr="000C7512">
        <w:rPr>
          <w:sz w:val="24"/>
          <w:szCs w:val="24"/>
          <w:lang w:val="id-ID"/>
        </w:rPr>
        <w:t>enyelesaian permasalahan eksekusi sita jaminan, melalui kantor lelang dan penjualan dibawah tangan.</w:t>
      </w:r>
      <w:r w:rsidR="00D148D0">
        <w:rPr>
          <w:sz w:val="24"/>
          <w:szCs w:val="24"/>
        </w:rPr>
        <w:t xml:space="preserve"> </w:t>
      </w:r>
      <w:r w:rsidRPr="000C7512">
        <w:rPr>
          <w:sz w:val="24"/>
          <w:szCs w:val="24"/>
          <w:lang w:val="id-ID"/>
        </w:rPr>
        <w:t xml:space="preserve">Faktor yang mempengaruhi tidak melalui PA adalah masalah waktu yang lama, biaya yang mahal, dan kurangnya SDM PA mengenai penyelesaian masalah ekonomi syariah. </w:t>
      </w:r>
      <w:r w:rsidRPr="000C7512">
        <w:rPr>
          <w:sz w:val="24"/>
          <w:szCs w:val="24"/>
        </w:rPr>
        <w:t>M</w:t>
      </w:r>
      <w:r w:rsidRPr="000C7512">
        <w:rPr>
          <w:sz w:val="24"/>
          <w:szCs w:val="24"/>
          <w:lang w:val="id-ID"/>
        </w:rPr>
        <w:t xml:space="preserve">elalui PA </w:t>
      </w:r>
      <w:r w:rsidRPr="000C7512">
        <w:rPr>
          <w:sz w:val="24"/>
          <w:szCs w:val="24"/>
        </w:rPr>
        <w:t>dari mulai</w:t>
      </w:r>
      <w:r w:rsidRPr="000C7512">
        <w:rPr>
          <w:sz w:val="24"/>
          <w:szCs w:val="24"/>
          <w:lang w:val="id-ID"/>
        </w:rPr>
        <w:t xml:space="preserve"> </w:t>
      </w:r>
      <w:r w:rsidRPr="000C7512">
        <w:rPr>
          <w:sz w:val="24"/>
          <w:szCs w:val="24"/>
        </w:rPr>
        <w:t>pen</w:t>
      </w:r>
      <w:r w:rsidRPr="000C7512">
        <w:rPr>
          <w:sz w:val="24"/>
          <w:szCs w:val="24"/>
          <w:lang w:val="id-ID"/>
        </w:rPr>
        <w:t>gajuan gugatan, mediasi, sidang, kemudian putusan Hakim</w:t>
      </w:r>
      <w:r w:rsidRPr="000C7512">
        <w:rPr>
          <w:sz w:val="24"/>
          <w:szCs w:val="24"/>
        </w:rPr>
        <w:t xml:space="preserve"> paling tidak dibutuhkan waktu satu bulan untuk perkara sederhana. Sementara untuk perkara biasa bisa memakan waktu berbulan-bulan</w:t>
      </w:r>
      <w:r w:rsidRPr="000C7512">
        <w:rPr>
          <w:sz w:val="24"/>
          <w:szCs w:val="24"/>
          <w:lang w:val="id-ID"/>
        </w:rPr>
        <w:t>.</w:t>
      </w:r>
    </w:p>
    <w:p w:rsidR="00582121" w:rsidRPr="000C7512" w:rsidRDefault="00582121" w:rsidP="000C7512">
      <w:pPr>
        <w:spacing w:line="360" w:lineRule="auto"/>
        <w:jc w:val="both"/>
        <w:rPr>
          <w:sz w:val="24"/>
          <w:szCs w:val="24"/>
          <w:lang w:val="id-ID"/>
        </w:rPr>
        <w:sectPr w:rsidR="00582121" w:rsidRPr="000C7512" w:rsidSect="000C7512">
          <w:type w:val="continuous"/>
          <w:pgSz w:w="11907" w:h="16839" w:code="9"/>
          <w:pgMar w:top="1440" w:right="1440" w:bottom="1440" w:left="1440" w:header="709" w:footer="709" w:gutter="0"/>
          <w:cols w:space="708"/>
          <w:docGrid w:linePitch="360"/>
        </w:sectPr>
      </w:pPr>
    </w:p>
    <w:p w:rsidR="00582121" w:rsidRPr="00F303BC" w:rsidRDefault="00582121" w:rsidP="009B7FD2">
      <w:pPr>
        <w:ind w:firstLine="426"/>
        <w:jc w:val="both"/>
      </w:pPr>
    </w:p>
    <w:p w:rsidR="009B7FD2" w:rsidRPr="00F303BC" w:rsidRDefault="009B7FD2" w:rsidP="009B7FD2">
      <w:pPr>
        <w:ind w:left="1080" w:firstLine="720"/>
        <w:jc w:val="both"/>
        <w:rPr>
          <w:lang w:val="id-ID"/>
        </w:rPr>
      </w:pPr>
    </w:p>
    <w:p w:rsidR="009B7FD2" w:rsidRPr="00F303BC" w:rsidRDefault="009B7FD2" w:rsidP="009B7FD2">
      <w:pPr>
        <w:pStyle w:val="Heading3"/>
        <w:numPr>
          <w:ilvl w:val="0"/>
          <w:numId w:val="12"/>
        </w:numPr>
        <w:jc w:val="both"/>
        <w:rPr>
          <w:rFonts w:ascii="Times New Roman" w:hAnsi="Times New Roman" w:cs="Times New Roman"/>
          <w:b/>
          <w:bCs/>
          <w:color w:val="000000" w:themeColor="text1"/>
          <w:sz w:val="22"/>
          <w:szCs w:val="22"/>
        </w:rPr>
        <w:sectPr w:rsidR="009B7FD2" w:rsidRPr="00F303BC" w:rsidSect="000C7512">
          <w:type w:val="continuous"/>
          <w:pgSz w:w="11907" w:h="16839" w:code="9"/>
          <w:pgMar w:top="1440" w:right="1080" w:bottom="1440" w:left="1080" w:header="709" w:footer="709" w:gutter="0"/>
          <w:cols w:space="708"/>
          <w:titlePg/>
          <w:docGrid w:linePitch="360"/>
        </w:sectPr>
      </w:pPr>
      <w:bookmarkStart w:id="1" w:name="_Toc11863594"/>
    </w:p>
    <w:bookmarkEnd w:id="1"/>
    <w:p w:rsidR="00CA6595" w:rsidRPr="00F303BC" w:rsidRDefault="00CA6595" w:rsidP="00CA6595">
      <w:pPr>
        <w:jc w:val="both"/>
        <w:rPr>
          <w:lang w:val="id-ID"/>
        </w:rPr>
      </w:pPr>
    </w:p>
    <w:p w:rsidR="00582121" w:rsidRPr="00F303BC" w:rsidRDefault="00582121" w:rsidP="00CA6595">
      <w:pPr>
        <w:jc w:val="both"/>
        <w:rPr>
          <w:lang w:val="id-ID"/>
        </w:rPr>
      </w:pPr>
    </w:p>
    <w:p w:rsidR="000C7512" w:rsidRDefault="000C7512" w:rsidP="00396452">
      <w:pPr>
        <w:pStyle w:val="Heading2"/>
        <w:rPr>
          <w:sz w:val="22"/>
          <w:szCs w:val="22"/>
          <w:lang w:val="id-ID"/>
        </w:rPr>
        <w:sectPr w:rsidR="000C7512" w:rsidSect="000C7512">
          <w:type w:val="continuous"/>
          <w:pgSz w:w="11907" w:h="16839" w:code="9"/>
          <w:pgMar w:top="1440" w:right="1080" w:bottom="1440" w:left="1080" w:header="709" w:footer="709" w:gutter="0"/>
          <w:cols w:space="708"/>
          <w:docGrid w:linePitch="360"/>
        </w:sectPr>
      </w:pPr>
    </w:p>
    <w:p w:rsidR="00553E5E" w:rsidRPr="00B274B2" w:rsidRDefault="00553E5E" w:rsidP="00396452">
      <w:pPr>
        <w:pStyle w:val="Heading2"/>
        <w:rPr>
          <w:b w:val="0"/>
          <w:bCs w:val="0"/>
          <w:lang w:val="id-ID"/>
        </w:rPr>
      </w:pPr>
      <w:r w:rsidRPr="00B274B2">
        <w:rPr>
          <w:lang w:val="id-ID"/>
        </w:rPr>
        <w:lastRenderedPageBreak/>
        <w:t>REFERENSI</w:t>
      </w:r>
    </w:p>
    <w:p w:rsidR="00FE21CB" w:rsidRPr="00B274B2" w:rsidRDefault="006D0104" w:rsidP="00FE21CB">
      <w:pPr>
        <w:adjustRightInd w:val="0"/>
        <w:ind w:left="480" w:hanging="480"/>
        <w:rPr>
          <w:noProof/>
          <w:sz w:val="24"/>
          <w:szCs w:val="24"/>
        </w:rPr>
      </w:pPr>
      <w:r w:rsidRPr="00B274B2">
        <w:rPr>
          <w:sz w:val="24"/>
          <w:szCs w:val="24"/>
        </w:rPr>
        <w:fldChar w:fldCharType="begin" w:fldLock="1"/>
      </w:r>
      <w:r w:rsidR="00553E5E" w:rsidRPr="00B274B2">
        <w:rPr>
          <w:sz w:val="24"/>
          <w:szCs w:val="24"/>
        </w:rPr>
        <w:instrText xml:space="preserve">ADDIN Mendeley Bibliography CSL_BIBLIOGRAPHY </w:instrText>
      </w:r>
      <w:r w:rsidRPr="00B274B2">
        <w:rPr>
          <w:sz w:val="24"/>
          <w:szCs w:val="24"/>
        </w:rPr>
        <w:fldChar w:fldCharType="separate"/>
      </w:r>
      <w:r w:rsidR="00FE21CB" w:rsidRPr="00B274B2">
        <w:rPr>
          <w:noProof/>
          <w:sz w:val="24"/>
          <w:szCs w:val="24"/>
        </w:rPr>
        <w:t xml:space="preserve">Adrian, D. (2014). Perlindungan Hukum Terhadap Kreditur Atas Objek Hak Tanggungan Dari Upaya Sita Jaminan Oleh Pihak Ketiga. </w:t>
      </w:r>
      <w:r w:rsidR="00FE21CB" w:rsidRPr="00B274B2">
        <w:rPr>
          <w:i/>
          <w:iCs/>
          <w:noProof/>
          <w:sz w:val="24"/>
          <w:szCs w:val="24"/>
        </w:rPr>
        <w:t>Lex Privatum</w:t>
      </w:r>
      <w:r w:rsidR="00FE21CB" w:rsidRPr="00B274B2">
        <w:rPr>
          <w:noProof/>
          <w:sz w:val="24"/>
          <w:szCs w:val="24"/>
        </w:rPr>
        <w:t xml:space="preserve">, </w:t>
      </w:r>
      <w:r w:rsidR="00FE21CB" w:rsidRPr="00B274B2">
        <w:rPr>
          <w:i/>
          <w:iCs/>
          <w:noProof/>
          <w:sz w:val="24"/>
          <w:szCs w:val="24"/>
        </w:rPr>
        <w:t>2</w:t>
      </w:r>
      <w:r w:rsidR="00FE21CB" w:rsidRPr="00B274B2">
        <w:rPr>
          <w:noProof/>
          <w:sz w:val="24"/>
          <w:szCs w:val="24"/>
        </w:rPr>
        <w:t>(1), 144–155. Retrieved from https://ejournal.unsrat.ac.id/index.php/lexprivatum/article/view/3969/3481</w:t>
      </w:r>
    </w:p>
    <w:p w:rsidR="00FE21CB" w:rsidRPr="00B274B2" w:rsidRDefault="00FE21CB" w:rsidP="00FE21CB">
      <w:pPr>
        <w:adjustRightInd w:val="0"/>
        <w:ind w:left="480" w:hanging="480"/>
        <w:rPr>
          <w:noProof/>
          <w:sz w:val="24"/>
          <w:szCs w:val="24"/>
        </w:rPr>
      </w:pPr>
      <w:r w:rsidRPr="00B274B2">
        <w:rPr>
          <w:noProof/>
          <w:sz w:val="24"/>
          <w:szCs w:val="24"/>
        </w:rPr>
        <w:t>Badan Pusat Statistik Kota Magelang. (2020). Kota Magelang Dalam Angka 2020. Retrieved May 14, 2020, from https://magelangkota.bps.go.id/publication/2020/04/27/f44ed0fa2acf49e2b21eeafc/kota-magelang-dalam-angka-2020.htm</w:t>
      </w:r>
    </w:p>
    <w:p w:rsidR="00FE21CB" w:rsidRPr="00B274B2" w:rsidRDefault="00FE21CB" w:rsidP="00FE21CB">
      <w:pPr>
        <w:adjustRightInd w:val="0"/>
        <w:ind w:left="480" w:hanging="480"/>
        <w:rPr>
          <w:noProof/>
          <w:sz w:val="24"/>
          <w:szCs w:val="24"/>
        </w:rPr>
      </w:pPr>
      <w:r w:rsidRPr="00B274B2">
        <w:rPr>
          <w:noProof/>
          <w:sz w:val="24"/>
          <w:szCs w:val="24"/>
        </w:rPr>
        <w:t xml:space="preserve">Dewan Syariah Nasional – Majelis Ulama Indonesia (DSN MUI). (2000). Fatwa Dewan </w:t>
      </w:r>
      <w:r w:rsidRPr="00B274B2">
        <w:rPr>
          <w:noProof/>
          <w:sz w:val="24"/>
          <w:szCs w:val="24"/>
        </w:rPr>
        <w:lastRenderedPageBreak/>
        <w:t>Syariah Nasional Nomor 04/DSN-MUI/IV/2000 tentang Murabahah. Retrieved May 14, 2020, from FATWA website: https://dsnmui.or.id/kategori/fatwa/page/13/</w:t>
      </w:r>
    </w:p>
    <w:p w:rsidR="00FE21CB" w:rsidRPr="00B274B2" w:rsidRDefault="00FE21CB" w:rsidP="00FE21CB">
      <w:pPr>
        <w:adjustRightInd w:val="0"/>
        <w:ind w:left="480" w:hanging="480"/>
        <w:rPr>
          <w:noProof/>
          <w:sz w:val="24"/>
          <w:szCs w:val="24"/>
        </w:rPr>
      </w:pPr>
      <w:r w:rsidRPr="00B274B2">
        <w:rPr>
          <w:noProof/>
          <w:sz w:val="24"/>
          <w:szCs w:val="24"/>
        </w:rPr>
        <w:t>Dinas Komunikasi Informatika dan Statistik Kota Magelang. (2019). Data Strategis Kota Magelang 2019. Retrieved May 14, 2020, from http://datago.magelangkota.go.id/frontend/mod_elibrary/docs/books/7/7_72438665_data_strategis_kota_magelang_tahun_2019.pdf</w:t>
      </w:r>
    </w:p>
    <w:p w:rsidR="00FE21CB" w:rsidRPr="00B274B2" w:rsidRDefault="00FE21CB" w:rsidP="00FE21CB">
      <w:pPr>
        <w:adjustRightInd w:val="0"/>
        <w:ind w:left="480" w:hanging="480"/>
        <w:rPr>
          <w:noProof/>
          <w:sz w:val="24"/>
          <w:szCs w:val="24"/>
        </w:rPr>
      </w:pPr>
      <w:r w:rsidRPr="00B274B2">
        <w:rPr>
          <w:noProof/>
          <w:sz w:val="24"/>
          <w:szCs w:val="24"/>
        </w:rPr>
        <w:t>Dinas Komunikasi Informatika dan Statistik Kota Magelang. (2020). Koperasi di Kota Magelang Menurut Wilayah. Retrieved May 14, 2020, from http://data.magelangkota.go.id/ website: http://data.magelangkota.go.id/dataset/koperasi-di-kota-magelang-menurut-wilayah-di-kota-magelang/resource/749d02d6-e064-47c9-a5e4-253caa08f7d0</w:t>
      </w:r>
    </w:p>
    <w:p w:rsidR="00FE21CB" w:rsidRPr="00B274B2" w:rsidRDefault="00FE21CB" w:rsidP="00FE21CB">
      <w:pPr>
        <w:adjustRightInd w:val="0"/>
        <w:ind w:left="480" w:hanging="480"/>
        <w:rPr>
          <w:noProof/>
          <w:sz w:val="24"/>
          <w:szCs w:val="24"/>
        </w:rPr>
      </w:pPr>
      <w:r w:rsidRPr="00B274B2">
        <w:rPr>
          <w:noProof/>
          <w:sz w:val="24"/>
          <w:szCs w:val="24"/>
        </w:rPr>
        <w:t xml:space="preserve">Harahap, Y. (2007). </w:t>
      </w:r>
      <w:r w:rsidRPr="00B274B2">
        <w:rPr>
          <w:i/>
          <w:iCs/>
          <w:noProof/>
          <w:sz w:val="24"/>
          <w:szCs w:val="24"/>
        </w:rPr>
        <w:t>Ruang Lingkup Permasalahan Eksekusi Bidang Perdata</w:t>
      </w:r>
      <w:r w:rsidRPr="00B274B2">
        <w:rPr>
          <w:noProof/>
          <w:sz w:val="24"/>
          <w:szCs w:val="24"/>
        </w:rPr>
        <w:t xml:space="preserve"> (2nd ed.). Jakarta: Sinar Grafika.</w:t>
      </w:r>
    </w:p>
    <w:p w:rsidR="00FE21CB" w:rsidRPr="00B274B2" w:rsidRDefault="00FE21CB" w:rsidP="00FE21CB">
      <w:pPr>
        <w:adjustRightInd w:val="0"/>
        <w:ind w:left="480" w:hanging="480"/>
        <w:rPr>
          <w:noProof/>
          <w:sz w:val="24"/>
          <w:szCs w:val="24"/>
        </w:rPr>
      </w:pPr>
      <w:r w:rsidRPr="00B274B2">
        <w:rPr>
          <w:noProof/>
          <w:sz w:val="24"/>
          <w:szCs w:val="24"/>
        </w:rPr>
        <w:t xml:space="preserve">Ilyas, M. (2018). Tinjauan Hukum Islam terhadap Musyawarah dalam Penyelesaian Sengketa Ekonomi Syariah. </w:t>
      </w:r>
      <w:r w:rsidRPr="00B274B2">
        <w:rPr>
          <w:i/>
          <w:iCs/>
          <w:noProof/>
          <w:sz w:val="24"/>
          <w:szCs w:val="24"/>
        </w:rPr>
        <w:t>Al-Qadau: Jurnal Peradilan Dan Hukum Keluarga Islam</w:t>
      </w:r>
      <w:r w:rsidRPr="00B274B2">
        <w:rPr>
          <w:noProof/>
          <w:sz w:val="24"/>
          <w:szCs w:val="24"/>
        </w:rPr>
        <w:t xml:space="preserve">, </w:t>
      </w:r>
      <w:r w:rsidRPr="00B274B2">
        <w:rPr>
          <w:i/>
          <w:iCs/>
          <w:noProof/>
          <w:sz w:val="24"/>
          <w:szCs w:val="24"/>
        </w:rPr>
        <w:t>5</w:t>
      </w:r>
      <w:r w:rsidRPr="00B274B2">
        <w:rPr>
          <w:noProof/>
          <w:sz w:val="24"/>
          <w:szCs w:val="24"/>
        </w:rPr>
        <w:t>(2), 227–236. Retrieved from http://journal.uin-alauddin.ac.id/index.php/al-qadau/article/view/7104</w:t>
      </w:r>
    </w:p>
    <w:p w:rsidR="00FE21CB" w:rsidRPr="00B274B2" w:rsidRDefault="00FE21CB" w:rsidP="00FE21CB">
      <w:pPr>
        <w:adjustRightInd w:val="0"/>
        <w:ind w:left="480" w:hanging="480"/>
        <w:rPr>
          <w:noProof/>
          <w:sz w:val="24"/>
          <w:szCs w:val="24"/>
        </w:rPr>
      </w:pPr>
      <w:r w:rsidRPr="00B274B2">
        <w:rPr>
          <w:noProof/>
          <w:sz w:val="24"/>
          <w:szCs w:val="24"/>
        </w:rPr>
        <w:t xml:space="preserve">Menteri Sekretaris Negara Republik Indonesia. </w:t>
      </w:r>
      <w:r w:rsidRPr="00B274B2">
        <w:rPr>
          <w:i/>
          <w:iCs/>
          <w:noProof/>
          <w:sz w:val="24"/>
          <w:szCs w:val="24"/>
        </w:rPr>
        <w:t>Undang-Undang Republik Indonesia Nomor 21 Tahun 2008 Tentang Perbankan Syariah</w:t>
      </w:r>
      <w:r w:rsidRPr="00B274B2">
        <w:rPr>
          <w:noProof/>
          <w:sz w:val="24"/>
          <w:szCs w:val="24"/>
        </w:rPr>
        <w:t>. , Pub. L. No. UU Nomor 21 Tahun 2008 (2008).</w:t>
      </w:r>
    </w:p>
    <w:p w:rsidR="00FE21CB" w:rsidRPr="00B274B2" w:rsidRDefault="00FE21CB" w:rsidP="00FE21CB">
      <w:pPr>
        <w:adjustRightInd w:val="0"/>
        <w:ind w:left="480" w:hanging="480"/>
        <w:rPr>
          <w:noProof/>
          <w:sz w:val="24"/>
          <w:szCs w:val="24"/>
        </w:rPr>
      </w:pPr>
      <w:r w:rsidRPr="00B274B2">
        <w:rPr>
          <w:noProof/>
          <w:sz w:val="24"/>
          <w:szCs w:val="24"/>
        </w:rPr>
        <w:t xml:space="preserve">Menteri Sekretaris Negera Republik Indonesia. </w:t>
      </w:r>
      <w:r w:rsidRPr="00B274B2">
        <w:rPr>
          <w:i/>
          <w:iCs/>
          <w:noProof/>
          <w:sz w:val="24"/>
          <w:szCs w:val="24"/>
        </w:rPr>
        <w:t>Undang-Undang Republik Indonesia Nomor 42 Tahun 1999 Tentang Jaminan Fidusia</w:t>
      </w:r>
      <w:r w:rsidRPr="00B274B2">
        <w:rPr>
          <w:noProof/>
          <w:sz w:val="24"/>
          <w:szCs w:val="24"/>
        </w:rPr>
        <w:t>. , Pub. L. No. UU NOMOR 42 TAHUN 1999 (1999).</w:t>
      </w:r>
    </w:p>
    <w:p w:rsidR="00FE21CB" w:rsidRPr="00B274B2" w:rsidRDefault="00FE21CB" w:rsidP="00FE21CB">
      <w:pPr>
        <w:adjustRightInd w:val="0"/>
        <w:ind w:left="480" w:hanging="480"/>
        <w:rPr>
          <w:noProof/>
          <w:sz w:val="24"/>
          <w:szCs w:val="24"/>
        </w:rPr>
      </w:pPr>
      <w:r w:rsidRPr="00B274B2">
        <w:rPr>
          <w:noProof/>
          <w:sz w:val="24"/>
          <w:szCs w:val="24"/>
        </w:rPr>
        <w:t xml:space="preserve">Noviyanti, R. (2017). Penyelesaian Sengketa Non-Litigasi Dalam Sejarah Peradaban Islam. </w:t>
      </w:r>
      <w:r w:rsidRPr="00B274B2">
        <w:rPr>
          <w:i/>
          <w:iCs/>
          <w:noProof/>
          <w:sz w:val="24"/>
          <w:szCs w:val="24"/>
        </w:rPr>
        <w:t>Mahakim: Journal of Islamic Family Law</w:t>
      </w:r>
      <w:r w:rsidRPr="00B274B2">
        <w:rPr>
          <w:noProof/>
          <w:sz w:val="24"/>
          <w:szCs w:val="24"/>
        </w:rPr>
        <w:t xml:space="preserve">, </w:t>
      </w:r>
      <w:r w:rsidRPr="00B274B2">
        <w:rPr>
          <w:i/>
          <w:iCs/>
          <w:noProof/>
          <w:sz w:val="24"/>
          <w:szCs w:val="24"/>
        </w:rPr>
        <w:t>1</w:t>
      </w:r>
      <w:r w:rsidRPr="00B274B2">
        <w:rPr>
          <w:noProof/>
          <w:sz w:val="24"/>
          <w:szCs w:val="24"/>
        </w:rPr>
        <w:t>(2), 1–17. Retrieved from https://jurnal.iainkediri.ac.id/index.php/mahakim/article/view/454</w:t>
      </w:r>
    </w:p>
    <w:p w:rsidR="00FE21CB" w:rsidRPr="00B274B2" w:rsidRDefault="00FE21CB" w:rsidP="00FE21CB">
      <w:pPr>
        <w:adjustRightInd w:val="0"/>
        <w:ind w:left="480" w:hanging="480"/>
        <w:rPr>
          <w:noProof/>
          <w:sz w:val="24"/>
          <w:szCs w:val="24"/>
        </w:rPr>
      </w:pPr>
      <w:r w:rsidRPr="00B274B2">
        <w:rPr>
          <w:noProof/>
          <w:sz w:val="24"/>
          <w:szCs w:val="24"/>
        </w:rPr>
        <w:t>Pengadilan Agama Magelang. (2016). Daftar Perkara Perdata Gugatan. Retrieved May 14, 2020, from Sistem Informasi Penelusuran Perkara Pengadilan Agama Magelang website: http://sipp.pa-magelang.go.id/</w:t>
      </w:r>
    </w:p>
    <w:p w:rsidR="00FE21CB" w:rsidRPr="00B274B2" w:rsidRDefault="00FE21CB" w:rsidP="00FE21CB">
      <w:pPr>
        <w:adjustRightInd w:val="0"/>
        <w:ind w:left="480" w:hanging="480"/>
        <w:rPr>
          <w:noProof/>
          <w:sz w:val="24"/>
          <w:szCs w:val="24"/>
        </w:rPr>
      </w:pPr>
      <w:r w:rsidRPr="00B274B2">
        <w:rPr>
          <w:noProof/>
          <w:sz w:val="24"/>
          <w:szCs w:val="24"/>
        </w:rPr>
        <w:t>Pengadilan Negeri Magelang. (n.d.). Daftar Perkara Gugatan. Retrieved May 14, 2020, from Sistem Informasi Penelusuran Perkara Pengadilan Negeri Magelang website: http://sipp.pn-magelang.go.id/list_perkara/search</w:t>
      </w:r>
    </w:p>
    <w:p w:rsidR="00FE21CB" w:rsidRPr="00B274B2" w:rsidRDefault="00FE21CB" w:rsidP="00FE21CB">
      <w:pPr>
        <w:adjustRightInd w:val="0"/>
        <w:ind w:left="480" w:hanging="480"/>
        <w:rPr>
          <w:noProof/>
          <w:sz w:val="24"/>
          <w:szCs w:val="24"/>
        </w:rPr>
      </w:pPr>
      <w:r w:rsidRPr="00B274B2">
        <w:rPr>
          <w:noProof/>
          <w:sz w:val="24"/>
          <w:szCs w:val="24"/>
        </w:rPr>
        <w:t xml:space="preserve">Pramudya, K. (2018). Strategi Pengembangan Ekonomi Syariah Melalui Penguatan Fungsi Pengadilan Agama dalam Penyelesaian Sengketa. </w:t>
      </w:r>
      <w:r w:rsidRPr="00B274B2">
        <w:rPr>
          <w:i/>
          <w:iCs/>
          <w:noProof/>
          <w:sz w:val="24"/>
          <w:szCs w:val="24"/>
        </w:rPr>
        <w:t>RechtsVinding</w:t>
      </w:r>
      <w:r w:rsidRPr="00B274B2">
        <w:rPr>
          <w:noProof/>
          <w:sz w:val="24"/>
          <w:szCs w:val="24"/>
        </w:rPr>
        <w:t xml:space="preserve">, </w:t>
      </w:r>
      <w:r w:rsidRPr="00B274B2">
        <w:rPr>
          <w:i/>
          <w:iCs/>
          <w:noProof/>
          <w:sz w:val="24"/>
          <w:szCs w:val="24"/>
        </w:rPr>
        <w:t>7</w:t>
      </w:r>
      <w:r w:rsidRPr="00B274B2">
        <w:rPr>
          <w:noProof/>
          <w:sz w:val="24"/>
          <w:szCs w:val="24"/>
        </w:rPr>
        <w:t>(1), 35–47. Retrieved from https://rechtsvinding.bphn.go.id/artikel/Artikel 3.PDF</w:t>
      </w:r>
    </w:p>
    <w:p w:rsidR="00FE21CB" w:rsidRPr="00B274B2" w:rsidRDefault="00FE21CB" w:rsidP="00FE21CB">
      <w:pPr>
        <w:adjustRightInd w:val="0"/>
        <w:ind w:left="480" w:hanging="480"/>
        <w:rPr>
          <w:noProof/>
          <w:sz w:val="24"/>
          <w:szCs w:val="24"/>
        </w:rPr>
      </w:pPr>
      <w:r w:rsidRPr="00B274B2">
        <w:rPr>
          <w:noProof/>
          <w:sz w:val="24"/>
          <w:szCs w:val="24"/>
        </w:rPr>
        <w:t xml:space="preserve">Salamiah, Riswandie, I., &amp; Aini, M. (2017). Efektivitas Eksekusi Obyek Jaminan Fidusia Bagi Nasabah Yang Tidak Mau Menyerahkan Obyek Fidusia Secara Sukarela (Studi Pada PT. Bank Panin, Tbk KCU Banjarmasin). </w:t>
      </w:r>
      <w:r w:rsidRPr="00B274B2">
        <w:rPr>
          <w:i/>
          <w:iCs/>
          <w:noProof/>
          <w:sz w:val="24"/>
          <w:szCs w:val="24"/>
        </w:rPr>
        <w:t>Al’Adl</w:t>
      </w:r>
      <w:r w:rsidRPr="00B274B2">
        <w:rPr>
          <w:noProof/>
          <w:sz w:val="24"/>
          <w:szCs w:val="24"/>
        </w:rPr>
        <w:t xml:space="preserve">, </w:t>
      </w:r>
      <w:r w:rsidRPr="00B274B2">
        <w:rPr>
          <w:i/>
          <w:iCs/>
          <w:noProof/>
          <w:sz w:val="24"/>
          <w:szCs w:val="24"/>
        </w:rPr>
        <w:t>9</w:t>
      </w:r>
      <w:r w:rsidRPr="00B274B2">
        <w:rPr>
          <w:noProof/>
          <w:sz w:val="24"/>
          <w:szCs w:val="24"/>
        </w:rPr>
        <w:t>(3), 337–356. https://doi.org/10.1017/CBO9781107415324.004</w:t>
      </w:r>
    </w:p>
    <w:p w:rsidR="00FE21CB" w:rsidRPr="00B274B2" w:rsidRDefault="00FE21CB" w:rsidP="00FE21CB">
      <w:pPr>
        <w:adjustRightInd w:val="0"/>
        <w:ind w:left="480" w:hanging="480"/>
        <w:rPr>
          <w:noProof/>
          <w:sz w:val="24"/>
          <w:szCs w:val="24"/>
        </w:rPr>
      </w:pPr>
      <w:r w:rsidRPr="00B274B2">
        <w:rPr>
          <w:noProof/>
          <w:sz w:val="24"/>
          <w:szCs w:val="24"/>
        </w:rPr>
        <w:t xml:space="preserve">Sutedi, A. (2012). </w:t>
      </w:r>
      <w:r w:rsidRPr="00B274B2">
        <w:rPr>
          <w:i/>
          <w:iCs/>
          <w:noProof/>
          <w:sz w:val="24"/>
          <w:szCs w:val="24"/>
        </w:rPr>
        <w:t>Hukum Hak Tanggungan</w:t>
      </w:r>
      <w:r w:rsidRPr="00B274B2">
        <w:rPr>
          <w:noProof/>
          <w:sz w:val="24"/>
          <w:szCs w:val="24"/>
        </w:rPr>
        <w:t xml:space="preserve"> (2nd ed.; Tarmizi, Ed.). Jakarta: Sinar Grafika.</w:t>
      </w:r>
    </w:p>
    <w:p w:rsidR="00FE21CB" w:rsidRPr="00B274B2" w:rsidRDefault="00FE21CB" w:rsidP="00FE21CB">
      <w:pPr>
        <w:adjustRightInd w:val="0"/>
        <w:ind w:left="480" w:hanging="480"/>
        <w:rPr>
          <w:noProof/>
          <w:sz w:val="24"/>
          <w:szCs w:val="24"/>
        </w:rPr>
      </w:pPr>
      <w:r w:rsidRPr="00B274B2">
        <w:rPr>
          <w:noProof/>
          <w:sz w:val="24"/>
          <w:szCs w:val="24"/>
        </w:rPr>
        <w:t xml:space="preserve">Suyatno, R. A. (2014). Perlawanan Dalam Eksekusi Obyek Jaminan Hak Tanggungan Berdasarkan Titel Eksekutorial. </w:t>
      </w:r>
      <w:r w:rsidRPr="00B274B2">
        <w:rPr>
          <w:i/>
          <w:iCs/>
          <w:noProof/>
          <w:sz w:val="24"/>
          <w:szCs w:val="24"/>
        </w:rPr>
        <w:t>Jurnal Hukum Dan Peradilan</w:t>
      </w:r>
      <w:r w:rsidRPr="00B274B2">
        <w:rPr>
          <w:noProof/>
          <w:sz w:val="24"/>
          <w:szCs w:val="24"/>
        </w:rPr>
        <w:t xml:space="preserve">, </w:t>
      </w:r>
      <w:r w:rsidRPr="00B274B2">
        <w:rPr>
          <w:i/>
          <w:iCs/>
          <w:noProof/>
          <w:sz w:val="24"/>
          <w:szCs w:val="24"/>
        </w:rPr>
        <w:t>3</w:t>
      </w:r>
      <w:r w:rsidRPr="00B274B2">
        <w:rPr>
          <w:noProof/>
          <w:sz w:val="24"/>
          <w:szCs w:val="24"/>
        </w:rPr>
        <w:t>(1), 1–10. Retrieved from http://jurnalhukumdanperadilan.org/index.php/jurnalhukumperadilan/article/view/97</w:t>
      </w:r>
    </w:p>
    <w:p w:rsidR="00553E5E" w:rsidRPr="00B274B2" w:rsidRDefault="006D0104" w:rsidP="00553E5E">
      <w:pPr>
        <w:pStyle w:val="ListParagraph"/>
        <w:adjustRightInd w:val="0"/>
        <w:jc w:val="both"/>
        <w:rPr>
          <w:sz w:val="24"/>
          <w:szCs w:val="24"/>
        </w:rPr>
      </w:pPr>
      <w:r w:rsidRPr="00B274B2">
        <w:rPr>
          <w:sz w:val="24"/>
          <w:szCs w:val="24"/>
        </w:rPr>
        <w:fldChar w:fldCharType="end"/>
      </w:r>
    </w:p>
    <w:p w:rsidR="004B1013" w:rsidRPr="00B274B2" w:rsidRDefault="004B1013" w:rsidP="004B1013">
      <w:pPr>
        <w:rPr>
          <w:b/>
          <w:bCs/>
          <w:sz w:val="24"/>
          <w:szCs w:val="24"/>
          <w:lang w:val="id-ID"/>
        </w:rPr>
      </w:pPr>
    </w:p>
    <w:p w:rsidR="00BB1E29" w:rsidRPr="00BB1E29" w:rsidRDefault="00BB1E29" w:rsidP="004B1013">
      <w:pPr>
        <w:rPr>
          <w:sz w:val="24"/>
          <w:szCs w:val="24"/>
          <w:lang w:val="id-ID"/>
        </w:rPr>
      </w:pPr>
    </w:p>
    <w:sectPr w:rsidR="00BB1E29" w:rsidRPr="00BB1E29" w:rsidSect="00FE21CB">
      <w:type w:val="continuous"/>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A0F" w:rsidRDefault="002F3A0F" w:rsidP="00685615">
      <w:r>
        <w:separator/>
      </w:r>
    </w:p>
  </w:endnote>
  <w:endnote w:type="continuationSeparator" w:id="0">
    <w:p w:rsidR="002F3A0F" w:rsidRDefault="002F3A0F" w:rsidP="00685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4000354"/>
      <w:docPartObj>
        <w:docPartGallery w:val="Page Numbers (Bottom of Page)"/>
        <w:docPartUnique/>
      </w:docPartObj>
    </w:sdtPr>
    <w:sdtEndPr>
      <w:rPr>
        <w:noProof/>
      </w:rPr>
    </w:sdtEndPr>
    <w:sdtContent>
      <w:p w:rsidR="00FE21CB" w:rsidRDefault="00FE21CB">
        <w:pPr>
          <w:pStyle w:val="Footer"/>
          <w:jc w:val="right"/>
        </w:pPr>
        <w:r>
          <w:fldChar w:fldCharType="begin"/>
        </w:r>
        <w:r>
          <w:instrText xml:space="preserve"> PAGE   \* MERGEFORMAT </w:instrText>
        </w:r>
        <w:r>
          <w:fldChar w:fldCharType="separate"/>
        </w:r>
        <w:r w:rsidR="00B274B2">
          <w:rPr>
            <w:noProof/>
          </w:rPr>
          <w:t>1</w:t>
        </w:r>
        <w:r>
          <w:rPr>
            <w:noProof/>
          </w:rPr>
          <w:fldChar w:fldCharType="end"/>
        </w:r>
      </w:p>
    </w:sdtContent>
  </w:sdt>
  <w:p w:rsidR="00FE21CB" w:rsidRDefault="00FE21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A0F" w:rsidRDefault="002F3A0F" w:rsidP="00685615">
      <w:r>
        <w:separator/>
      </w:r>
    </w:p>
  </w:footnote>
  <w:footnote w:type="continuationSeparator" w:id="0">
    <w:p w:rsidR="002F3A0F" w:rsidRDefault="002F3A0F" w:rsidP="006856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512" w:rsidRDefault="000C7512" w:rsidP="000C7512">
    <w:pPr>
      <w:contextualSpacing/>
      <w:jc w:val="right"/>
      <w:rPr>
        <w:rFonts w:ascii="Georgia" w:hAnsi="Georgia"/>
        <w:bCs/>
        <w:sz w:val="18"/>
        <w:szCs w:val="18"/>
      </w:rPr>
    </w:pPr>
    <w:r>
      <w:rPr>
        <w:rFonts w:ascii="Georgia" w:hAnsi="Georgia"/>
        <w:bCs/>
        <w:sz w:val="18"/>
        <w:szCs w:val="18"/>
      </w:rPr>
      <w:t>Law and Justice</w:t>
    </w:r>
  </w:p>
  <w:p w:rsidR="000C7512" w:rsidRDefault="000C7512" w:rsidP="000C7512">
    <w:pPr>
      <w:pBdr>
        <w:bottom w:val="single" w:sz="4" w:space="1" w:color="auto"/>
      </w:pBdr>
      <w:contextualSpacing/>
      <w:jc w:val="right"/>
      <w:rPr>
        <w:rFonts w:ascii="Georgia" w:hAnsi="Georgia"/>
        <w:bCs/>
        <w:sz w:val="18"/>
        <w:szCs w:val="18"/>
      </w:rPr>
    </w:pPr>
    <w:r>
      <w:rPr>
        <w:rFonts w:ascii="Georgia" w:hAnsi="Georgia"/>
        <w:b/>
        <w:bCs/>
        <w:sz w:val="18"/>
        <w:szCs w:val="18"/>
      </w:rPr>
      <w:t>(Leave this header blank)</w:t>
    </w:r>
    <w:r>
      <w:rPr>
        <w:rFonts w:ascii="Georgia" w:hAnsi="Georgia"/>
        <w:bCs/>
        <w:sz w:val="18"/>
        <w:szCs w:val="18"/>
      </w:rPr>
      <w:t xml:space="preserve">                                                                              Vol. xx, No. x, xxx, pp.xxx-xxx</w:t>
    </w:r>
  </w:p>
  <w:p w:rsidR="000C7512" w:rsidRDefault="000C7512" w:rsidP="000C7512">
    <w:pPr>
      <w:pBdr>
        <w:bottom w:val="single" w:sz="4" w:space="1" w:color="auto"/>
      </w:pBdr>
      <w:contextualSpacing/>
      <w:jc w:val="right"/>
      <w:rPr>
        <w:rFonts w:ascii="Georgia" w:hAnsi="Georgia"/>
        <w:bCs/>
        <w:sz w:val="18"/>
        <w:szCs w:val="18"/>
      </w:rPr>
    </w:pPr>
    <w:r>
      <w:rPr>
        <w:rFonts w:ascii="Georgia" w:hAnsi="Georgia"/>
        <w:bCs/>
        <w:sz w:val="18"/>
        <w:szCs w:val="18"/>
      </w:rPr>
      <w:t>e-</w:t>
    </w:r>
    <w:proofErr w:type="gramStart"/>
    <w:r>
      <w:rPr>
        <w:rFonts w:ascii="Georgia" w:hAnsi="Georgia"/>
        <w:bCs/>
        <w:sz w:val="18"/>
        <w:szCs w:val="18"/>
      </w:rPr>
      <w:t>ISSN :</w:t>
    </w:r>
    <w:proofErr w:type="gramEnd"/>
    <w:r>
      <w:rPr>
        <w:rFonts w:ascii="Georgia" w:hAnsi="Georgia"/>
        <w:bCs/>
        <w:sz w:val="18"/>
        <w:szCs w:val="18"/>
      </w:rPr>
      <w:t xml:space="preserve"> 2549-8282</w:t>
    </w:r>
  </w:p>
  <w:p w:rsidR="000C7512" w:rsidRDefault="000C7512" w:rsidP="000C7512">
    <w:pPr>
      <w:pBdr>
        <w:bottom w:val="single" w:sz="4" w:space="1" w:color="auto"/>
      </w:pBdr>
      <w:contextualSpacing/>
      <w:jc w:val="right"/>
      <w:rPr>
        <w:rFonts w:ascii="Georgia" w:hAnsi="Georgia"/>
        <w:bCs/>
        <w:sz w:val="18"/>
        <w:szCs w:val="18"/>
      </w:rPr>
    </w:pPr>
    <w:hyperlink r:id="rId1" w:history="1">
      <w:r w:rsidRPr="0053529F">
        <w:rPr>
          <w:rStyle w:val="Hyperlink"/>
          <w:rFonts w:ascii="Georgia" w:hAnsi="Georgia"/>
          <w:bCs/>
          <w:color w:val="000000" w:themeColor="text1"/>
          <w:sz w:val="18"/>
          <w:szCs w:val="18"/>
        </w:rPr>
        <w:t>http://journals.ums.ac.id/index.php/laj/article/view/xxxx</w:t>
      </w:r>
    </w:hyperlink>
  </w:p>
  <w:p w:rsidR="000C7512" w:rsidRDefault="000C75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4290E"/>
    <w:multiLevelType w:val="hybridMultilevel"/>
    <w:tmpl w:val="47387B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5D325BF"/>
    <w:multiLevelType w:val="hybridMultilevel"/>
    <w:tmpl w:val="037645D4"/>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F2520ED"/>
    <w:multiLevelType w:val="hybridMultilevel"/>
    <w:tmpl w:val="49C0A996"/>
    <w:lvl w:ilvl="0" w:tplc="75C20B8E">
      <w:start w:val="1"/>
      <w:numFmt w:val="lowerLetter"/>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62248DA"/>
    <w:multiLevelType w:val="hybridMultilevel"/>
    <w:tmpl w:val="02D4BF4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86F1D44"/>
    <w:multiLevelType w:val="hybridMultilevel"/>
    <w:tmpl w:val="4DA4FE90"/>
    <w:lvl w:ilvl="0" w:tplc="AA60B968">
      <w:start w:val="1"/>
      <w:numFmt w:val="bullet"/>
      <w:lvlText w:val="-"/>
      <w:lvlJc w:val="left"/>
      <w:pPr>
        <w:ind w:left="360" w:hanging="360"/>
      </w:pPr>
      <w:rPr>
        <w:rFonts w:ascii="Times New Roman" w:eastAsia="Calibri" w:hAnsi="Times New Roman" w:cs="Times New Roman"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5">
    <w:nsid w:val="1E597FF4"/>
    <w:multiLevelType w:val="multilevel"/>
    <w:tmpl w:val="0302B7B2"/>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
      <w:lvlJc w:val="left"/>
      <w:pPr>
        <w:tabs>
          <w:tab w:val="num" w:pos="3240"/>
        </w:tabs>
        <w:ind w:left="3240" w:hanging="360"/>
      </w:pPr>
      <w:rPr>
        <w:rFonts w:ascii="Symbol" w:hAnsi="Symbol" w:hint="default"/>
        <w:sz w:val="20"/>
      </w:rPr>
    </w:lvl>
    <w:lvl w:ilvl="2" w:tentative="1">
      <w:start w:val="1"/>
      <w:numFmt w:val="bullet"/>
      <w:lvlText w:val=""/>
      <w:lvlJc w:val="left"/>
      <w:pPr>
        <w:tabs>
          <w:tab w:val="num" w:pos="3960"/>
        </w:tabs>
        <w:ind w:left="3960" w:hanging="360"/>
      </w:pPr>
      <w:rPr>
        <w:rFonts w:ascii="Symbol" w:hAnsi="Symbol" w:hint="default"/>
        <w:sz w:val="20"/>
      </w:rPr>
    </w:lvl>
    <w:lvl w:ilvl="3" w:tentative="1">
      <w:start w:val="1"/>
      <w:numFmt w:val="bullet"/>
      <w:lvlText w:val=""/>
      <w:lvlJc w:val="left"/>
      <w:pPr>
        <w:tabs>
          <w:tab w:val="num" w:pos="4680"/>
        </w:tabs>
        <w:ind w:left="4680" w:hanging="360"/>
      </w:pPr>
      <w:rPr>
        <w:rFonts w:ascii="Symbol" w:hAnsi="Symbol" w:hint="default"/>
        <w:sz w:val="20"/>
      </w:rPr>
    </w:lvl>
    <w:lvl w:ilvl="4" w:tentative="1">
      <w:start w:val="1"/>
      <w:numFmt w:val="bullet"/>
      <w:lvlText w:val=""/>
      <w:lvlJc w:val="left"/>
      <w:pPr>
        <w:tabs>
          <w:tab w:val="num" w:pos="5400"/>
        </w:tabs>
        <w:ind w:left="5400" w:hanging="360"/>
      </w:pPr>
      <w:rPr>
        <w:rFonts w:ascii="Symbol" w:hAnsi="Symbol" w:hint="default"/>
        <w:sz w:val="20"/>
      </w:rPr>
    </w:lvl>
    <w:lvl w:ilvl="5" w:tentative="1">
      <w:start w:val="1"/>
      <w:numFmt w:val="bullet"/>
      <w:lvlText w:val=""/>
      <w:lvlJc w:val="left"/>
      <w:pPr>
        <w:tabs>
          <w:tab w:val="num" w:pos="6120"/>
        </w:tabs>
        <w:ind w:left="6120" w:hanging="360"/>
      </w:pPr>
      <w:rPr>
        <w:rFonts w:ascii="Symbol" w:hAnsi="Symbol" w:hint="default"/>
        <w:sz w:val="20"/>
      </w:rPr>
    </w:lvl>
    <w:lvl w:ilvl="6" w:tentative="1">
      <w:start w:val="1"/>
      <w:numFmt w:val="bullet"/>
      <w:lvlText w:val=""/>
      <w:lvlJc w:val="left"/>
      <w:pPr>
        <w:tabs>
          <w:tab w:val="num" w:pos="6840"/>
        </w:tabs>
        <w:ind w:left="6840" w:hanging="360"/>
      </w:pPr>
      <w:rPr>
        <w:rFonts w:ascii="Symbol" w:hAnsi="Symbol" w:hint="default"/>
        <w:sz w:val="20"/>
      </w:rPr>
    </w:lvl>
    <w:lvl w:ilvl="7" w:tentative="1">
      <w:start w:val="1"/>
      <w:numFmt w:val="bullet"/>
      <w:lvlText w:val=""/>
      <w:lvlJc w:val="left"/>
      <w:pPr>
        <w:tabs>
          <w:tab w:val="num" w:pos="7560"/>
        </w:tabs>
        <w:ind w:left="7560" w:hanging="360"/>
      </w:pPr>
      <w:rPr>
        <w:rFonts w:ascii="Symbol" w:hAnsi="Symbol" w:hint="default"/>
        <w:sz w:val="20"/>
      </w:rPr>
    </w:lvl>
    <w:lvl w:ilvl="8" w:tentative="1">
      <w:start w:val="1"/>
      <w:numFmt w:val="bullet"/>
      <w:lvlText w:val=""/>
      <w:lvlJc w:val="left"/>
      <w:pPr>
        <w:tabs>
          <w:tab w:val="num" w:pos="8280"/>
        </w:tabs>
        <w:ind w:left="8280" w:hanging="360"/>
      </w:pPr>
      <w:rPr>
        <w:rFonts w:ascii="Symbol" w:hAnsi="Symbol" w:hint="default"/>
        <w:sz w:val="20"/>
      </w:rPr>
    </w:lvl>
  </w:abstractNum>
  <w:abstractNum w:abstractNumId="6">
    <w:nsid w:val="28C12F72"/>
    <w:multiLevelType w:val="hybridMultilevel"/>
    <w:tmpl w:val="938863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854193"/>
    <w:multiLevelType w:val="hybridMultilevel"/>
    <w:tmpl w:val="CA30272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D616301"/>
    <w:multiLevelType w:val="hybridMultilevel"/>
    <w:tmpl w:val="EE0CCD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D7231E"/>
    <w:multiLevelType w:val="hybridMultilevel"/>
    <w:tmpl w:val="C0B200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25A3DD9"/>
    <w:multiLevelType w:val="hybridMultilevel"/>
    <w:tmpl w:val="AB4404E4"/>
    <w:lvl w:ilvl="0" w:tplc="630AE93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57440838"/>
    <w:multiLevelType w:val="hybridMultilevel"/>
    <w:tmpl w:val="15FA7F98"/>
    <w:lvl w:ilvl="0" w:tplc="1ADA83CE">
      <w:start w:val="1"/>
      <w:numFmt w:val="lowerLetter"/>
      <w:lvlText w:val="%1."/>
      <w:lvlJc w:val="left"/>
      <w:pPr>
        <w:ind w:left="2097" w:hanging="360"/>
      </w:pPr>
      <w:rPr>
        <w:rFonts w:hint="default"/>
      </w:rPr>
    </w:lvl>
    <w:lvl w:ilvl="1" w:tplc="04210019" w:tentative="1">
      <w:start w:val="1"/>
      <w:numFmt w:val="lowerLetter"/>
      <w:lvlText w:val="%2."/>
      <w:lvlJc w:val="left"/>
      <w:pPr>
        <w:ind w:left="2817" w:hanging="360"/>
      </w:pPr>
    </w:lvl>
    <w:lvl w:ilvl="2" w:tplc="0421001B" w:tentative="1">
      <w:start w:val="1"/>
      <w:numFmt w:val="lowerRoman"/>
      <w:lvlText w:val="%3."/>
      <w:lvlJc w:val="right"/>
      <w:pPr>
        <w:ind w:left="3537" w:hanging="180"/>
      </w:pPr>
    </w:lvl>
    <w:lvl w:ilvl="3" w:tplc="0421000F" w:tentative="1">
      <w:start w:val="1"/>
      <w:numFmt w:val="decimal"/>
      <w:lvlText w:val="%4."/>
      <w:lvlJc w:val="left"/>
      <w:pPr>
        <w:ind w:left="4257" w:hanging="360"/>
      </w:pPr>
    </w:lvl>
    <w:lvl w:ilvl="4" w:tplc="04210019" w:tentative="1">
      <w:start w:val="1"/>
      <w:numFmt w:val="lowerLetter"/>
      <w:lvlText w:val="%5."/>
      <w:lvlJc w:val="left"/>
      <w:pPr>
        <w:ind w:left="4977" w:hanging="360"/>
      </w:pPr>
    </w:lvl>
    <w:lvl w:ilvl="5" w:tplc="0421001B" w:tentative="1">
      <w:start w:val="1"/>
      <w:numFmt w:val="lowerRoman"/>
      <w:lvlText w:val="%6."/>
      <w:lvlJc w:val="right"/>
      <w:pPr>
        <w:ind w:left="5697" w:hanging="180"/>
      </w:pPr>
    </w:lvl>
    <w:lvl w:ilvl="6" w:tplc="0421000F" w:tentative="1">
      <w:start w:val="1"/>
      <w:numFmt w:val="decimal"/>
      <w:lvlText w:val="%7."/>
      <w:lvlJc w:val="left"/>
      <w:pPr>
        <w:ind w:left="6417" w:hanging="360"/>
      </w:pPr>
    </w:lvl>
    <w:lvl w:ilvl="7" w:tplc="04210019" w:tentative="1">
      <w:start w:val="1"/>
      <w:numFmt w:val="lowerLetter"/>
      <w:lvlText w:val="%8."/>
      <w:lvlJc w:val="left"/>
      <w:pPr>
        <w:ind w:left="7137" w:hanging="360"/>
      </w:pPr>
    </w:lvl>
    <w:lvl w:ilvl="8" w:tplc="0421001B" w:tentative="1">
      <w:start w:val="1"/>
      <w:numFmt w:val="lowerRoman"/>
      <w:lvlText w:val="%9."/>
      <w:lvlJc w:val="right"/>
      <w:pPr>
        <w:ind w:left="7857" w:hanging="180"/>
      </w:pPr>
    </w:lvl>
  </w:abstractNum>
  <w:abstractNum w:abstractNumId="12">
    <w:nsid w:val="5A5C42DD"/>
    <w:multiLevelType w:val="hybridMultilevel"/>
    <w:tmpl w:val="A25084D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23D76EF"/>
    <w:multiLevelType w:val="hybridMultilevel"/>
    <w:tmpl w:val="DFC62C5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27077B0"/>
    <w:multiLevelType w:val="hybridMultilevel"/>
    <w:tmpl w:val="793A2BF4"/>
    <w:lvl w:ilvl="0" w:tplc="55B698E8">
      <w:start w:val="1"/>
      <w:numFmt w:val="lowerLetter"/>
      <w:lvlText w:val="%1."/>
      <w:lvlJc w:val="left"/>
      <w:pPr>
        <w:ind w:left="426" w:hanging="360"/>
      </w:pPr>
      <w:rPr>
        <w:rFonts w:hint="default"/>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num w:numId="1">
    <w:abstractNumId w:val="0"/>
  </w:num>
  <w:num w:numId="2">
    <w:abstractNumId w:val="3"/>
  </w:num>
  <w:num w:numId="3">
    <w:abstractNumId w:val="4"/>
  </w:num>
  <w:num w:numId="4">
    <w:abstractNumId w:val="7"/>
  </w:num>
  <w:num w:numId="5">
    <w:abstractNumId w:val="10"/>
  </w:num>
  <w:num w:numId="6">
    <w:abstractNumId w:val="1"/>
  </w:num>
  <w:num w:numId="7">
    <w:abstractNumId w:val="11"/>
  </w:num>
  <w:num w:numId="8">
    <w:abstractNumId w:val="14"/>
  </w:num>
  <w:num w:numId="9">
    <w:abstractNumId w:val="2"/>
  </w:num>
  <w:num w:numId="10">
    <w:abstractNumId w:val="6"/>
  </w:num>
  <w:num w:numId="11">
    <w:abstractNumId w:val="13"/>
  </w:num>
  <w:num w:numId="12">
    <w:abstractNumId w:val="9"/>
  </w:num>
  <w:num w:numId="13">
    <w:abstractNumId w:val="5"/>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186"/>
    <w:rsid w:val="000117B6"/>
    <w:rsid w:val="0003381C"/>
    <w:rsid w:val="000348EC"/>
    <w:rsid w:val="000442BC"/>
    <w:rsid w:val="000530A1"/>
    <w:rsid w:val="000606BE"/>
    <w:rsid w:val="00061710"/>
    <w:rsid w:val="00075C7C"/>
    <w:rsid w:val="00085234"/>
    <w:rsid w:val="000A53AF"/>
    <w:rsid w:val="000C7512"/>
    <w:rsid w:val="000E112D"/>
    <w:rsid w:val="000E7BCC"/>
    <w:rsid w:val="000F15F6"/>
    <w:rsid w:val="000F2A4A"/>
    <w:rsid w:val="00101AD5"/>
    <w:rsid w:val="001218CF"/>
    <w:rsid w:val="001265DB"/>
    <w:rsid w:val="00126BAD"/>
    <w:rsid w:val="00127327"/>
    <w:rsid w:val="00143A64"/>
    <w:rsid w:val="0014497B"/>
    <w:rsid w:val="00147315"/>
    <w:rsid w:val="00155609"/>
    <w:rsid w:val="00155873"/>
    <w:rsid w:val="001712B5"/>
    <w:rsid w:val="00174F69"/>
    <w:rsid w:val="001809A3"/>
    <w:rsid w:val="00191B43"/>
    <w:rsid w:val="001B54AB"/>
    <w:rsid w:val="001B6D66"/>
    <w:rsid w:val="001E7F43"/>
    <w:rsid w:val="0020352A"/>
    <w:rsid w:val="002250D6"/>
    <w:rsid w:val="00226BE5"/>
    <w:rsid w:val="00227530"/>
    <w:rsid w:val="00233A2A"/>
    <w:rsid w:val="00244351"/>
    <w:rsid w:val="002445EB"/>
    <w:rsid w:val="00257306"/>
    <w:rsid w:val="00294B49"/>
    <w:rsid w:val="002A30AF"/>
    <w:rsid w:val="002A797D"/>
    <w:rsid w:val="002B6906"/>
    <w:rsid w:val="002C485C"/>
    <w:rsid w:val="002E2F69"/>
    <w:rsid w:val="002E49C6"/>
    <w:rsid w:val="002F3A0F"/>
    <w:rsid w:val="003118CC"/>
    <w:rsid w:val="00351AED"/>
    <w:rsid w:val="0035488C"/>
    <w:rsid w:val="00360AD3"/>
    <w:rsid w:val="00365645"/>
    <w:rsid w:val="003715EC"/>
    <w:rsid w:val="00383F3C"/>
    <w:rsid w:val="00392BBC"/>
    <w:rsid w:val="00393A67"/>
    <w:rsid w:val="00394060"/>
    <w:rsid w:val="00396452"/>
    <w:rsid w:val="003A526B"/>
    <w:rsid w:val="003B07F6"/>
    <w:rsid w:val="003C2030"/>
    <w:rsid w:val="003D0ED4"/>
    <w:rsid w:val="00400CB4"/>
    <w:rsid w:val="00406414"/>
    <w:rsid w:val="00422804"/>
    <w:rsid w:val="00433697"/>
    <w:rsid w:val="00434C47"/>
    <w:rsid w:val="00464CE3"/>
    <w:rsid w:val="004721E5"/>
    <w:rsid w:val="00482DBD"/>
    <w:rsid w:val="00493474"/>
    <w:rsid w:val="00495145"/>
    <w:rsid w:val="004B1013"/>
    <w:rsid w:val="004C05B5"/>
    <w:rsid w:val="004C0B19"/>
    <w:rsid w:val="004E08DD"/>
    <w:rsid w:val="004E2B14"/>
    <w:rsid w:val="004E5DD8"/>
    <w:rsid w:val="00505A4B"/>
    <w:rsid w:val="005210A8"/>
    <w:rsid w:val="00522076"/>
    <w:rsid w:val="00537103"/>
    <w:rsid w:val="0055239F"/>
    <w:rsid w:val="00553E5E"/>
    <w:rsid w:val="00561EE4"/>
    <w:rsid w:val="00563D90"/>
    <w:rsid w:val="0057389E"/>
    <w:rsid w:val="00581E1E"/>
    <w:rsid w:val="00582121"/>
    <w:rsid w:val="005A7E68"/>
    <w:rsid w:val="005B63AC"/>
    <w:rsid w:val="005F51BB"/>
    <w:rsid w:val="006045A5"/>
    <w:rsid w:val="006064CF"/>
    <w:rsid w:val="00624BD9"/>
    <w:rsid w:val="00645603"/>
    <w:rsid w:val="006667BE"/>
    <w:rsid w:val="00685615"/>
    <w:rsid w:val="006872F5"/>
    <w:rsid w:val="00697E29"/>
    <w:rsid w:val="006A69CD"/>
    <w:rsid w:val="006C6EFE"/>
    <w:rsid w:val="006D0104"/>
    <w:rsid w:val="006D53CF"/>
    <w:rsid w:val="006E6776"/>
    <w:rsid w:val="006F52A4"/>
    <w:rsid w:val="0071706B"/>
    <w:rsid w:val="00717BFF"/>
    <w:rsid w:val="00722663"/>
    <w:rsid w:val="007230ED"/>
    <w:rsid w:val="00734D15"/>
    <w:rsid w:val="00743753"/>
    <w:rsid w:val="007448E5"/>
    <w:rsid w:val="0074695D"/>
    <w:rsid w:val="0075178B"/>
    <w:rsid w:val="00754A58"/>
    <w:rsid w:val="00754BFA"/>
    <w:rsid w:val="00770CD5"/>
    <w:rsid w:val="0078484D"/>
    <w:rsid w:val="00785FAB"/>
    <w:rsid w:val="007B4679"/>
    <w:rsid w:val="007D29B0"/>
    <w:rsid w:val="007D2DBE"/>
    <w:rsid w:val="007D36F9"/>
    <w:rsid w:val="007D5CE6"/>
    <w:rsid w:val="007E41B4"/>
    <w:rsid w:val="00800470"/>
    <w:rsid w:val="00810B9A"/>
    <w:rsid w:val="00817BAF"/>
    <w:rsid w:val="0082673C"/>
    <w:rsid w:val="008340A7"/>
    <w:rsid w:val="00894657"/>
    <w:rsid w:val="008A520C"/>
    <w:rsid w:val="008B10B1"/>
    <w:rsid w:val="008D665C"/>
    <w:rsid w:val="008E1674"/>
    <w:rsid w:val="008E2D21"/>
    <w:rsid w:val="008F43BE"/>
    <w:rsid w:val="00911415"/>
    <w:rsid w:val="00912353"/>
    <w:rsid w:val="00917B25"/>
    <w:rsid w:val="00931154"/>
    <w:rsid w:val="00936114"/>
    <w:rsid w:val="00956EB9"/>
    <w:rsid w:val="00957347"/>
    <w:rsid w:val="0096198E"/>
    <w:rsid w:val="00966224"/>
    <w:rsid w:val="00972481"/>
    <w:rsid w:val="0097623D"/>
    <w:rsid w:val="00976F5F"/>
    <w:rsid w:val="00984F8F"/>
    <w:rsid w:val="00993463"/>
    <w:rsid w:val="009B7FD2"/>
    <w:rsid w:val="009F27A6"/>
    <w:rsid w:val="00A03182"/>
    <w:rsid w:val="00A06B66"/>
    <w:rsid w:val="00A17F26"/>
    <w:rsid w:val="00A202CF"/>
    <w:rsid w:val="00A45EB2"/>
    <w:rsid w:val="00A552BE"/>
    <w:rsid w:val="00A914FE"/>
    <w:rsid w:val="00AA009A"/>
    <w:rsid w:val="00AB1FF9"/>
    <w:rsid w:val="00AC5E3E"/>
    <w:rsid w:val="00AC6F83"/>
    <w:rsid w:val="00AD270B"/>
    <w:rsid w:val="00AD7AC2"/>
    <w:rsid w:val="00AE42B5"/>
    <w:rsid w:val="00AE7950"/>
    <w:rsid w:val="00B000CD"/>
    <w:rsid w:val="00B25304"/>
    <w:rsid w:val="00B274B2"/>
    <w:rsid w:val="00B51EC3"/>
    <w:rsid w:val="00B61351"/>
    <w:rsid w:val="00B81087"/>
    <w:rsid w:val="00B955AC"/>
    <w:rsid w:val="00BA154E"/>
    <w:rsid w:val="00BA5B9B"/>
    <w:rsid w:val="00BB1E29"/>
    <w:rsid w:val="00BC13A1"/>
    <w:rsid w:val="00BF084A"/>
    <w:rsid w:val="00BF4FA7"/>
    <w:rsid w:val="00C00BD4"/>
    <w:rsid w:val="00C10AE5"/>
    <w:rsid w:val="00C17CAE"/>
    <w:rsid w:val="00C45F9C"/>
    <w:rsid w:val="00C81977"/>
    <w:rsid w:val="00C86FBB"/>
    <w:rsid w:val="00C96485"/>
    <w:rsid w:val="00CA0F02"/>
    <w:rsid w:val="00CA6595"/>
    <w:rsid w:val="00CB19F1"/>
    <w:rsid w:val="00CD6177"/>
    <w:rsid w:val="00D10336"/>
    <w:rsid w:val="00D1315D"/>
    <w:rsid w:val="00D148D0"/>
    <w:rsid w:val="00D26827"/>
    <w:rsid w:val="00D4675A"/>
    <w:rsid w:val="00D506E3"/>
    <w:rsid w:val="00D520A9"/>
    <w:rsid w:val="00D64CFF"/>
    <w:rsid w:val="00D74868"/>
    <w:rsid w:val="00D86624"/>
    <w:rsid w:val="00D91205"/>
    <w:rsid w:val="00D91D37"/>
    <w:rsid w:val="00D96E11"/>
    <w:rsid w:val="00DB3F1C"/>
    <w:rsid w:val="00DB6C9C"/>
    <w:rsid w:val="00DB7E6D"/>
    <w:rsid w:val="00DD5886"/>
    <w:rsid w:val="00E00EFF"/>
    <w:rsid w:val="00E157A5"/>
    <w:rsid w:val="00E339B9"/>
    <w:rsid w:val="00E47E27"/>
    <w:rsid w:val="00E7501F"/>
    <w:rsid w:val="00E823DE"/>
    <w:rsid w:val="00E83186"/>
    <w:rsid w:val="00E93237"/>
    <w:rsid w:val="00ED5042"/>
    <w:rsid w:val="00EE1154"/>
    <w:rsid w:val="00EE3AF0"/>
    <w:rsid w:val="00EE6B10"/>
    <w:rsid w:val="00EE7D0E"/>
    <w:rsid w:val="00EF58A8"/>
    <w:rsid w:val="00F0309A"/>
    <w:rsid w:val="00F141BE"/>
    <w:rsid w:val="00F25575"/>
    <w:rsid w:val="00F26C68"/>
    <w:rsid w:val="00F2715D"/>
    <w:rsid w:val="00F27C15"/>
    <w:rsid w:val="00F303BC"/>
    <w:rsid w:val="00F345FF"/>
    <w:rsid w:val="00F4603B"/>
    <w:rsid w:val="00F52B07"/>
    <w:rsid w:val="00F54C67"/>
    <w:rsid w:val="00F63C17"/>
    <w:rsid w:val="00F65525"/>
    <w:rsid w:val="00F75269"/>
    <w:rsid w:val="00F81A3A"/>
    <w:rsid w:val="00F850FD"/>
    <w:rsid w:val="00F85217"/>
    <w:rsid w:val="00F970C5"/>
    <w:rsid w:val="00FB0AAF"/>
    <w:rsid w:val="00FE21CB"/>
    <w:rsid w:val="00FE73F0"/>
    <w:rsid w:val="00FF56B8"/>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A62128-F631-4348-93E6-5F297FA1B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id-ID" w:eastAsia="en-US" w:bidi="ar-SA"/>
      </w:rPr>
    </w:rPrDefault>
    <w:pPrDefault>
      <w:pPr>
        <w:spacing w:line="480" w:lineRule="auto"/>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83186"/>
    <w:pPr>
      <w:widowControl w:val="0"/>
      <w:autoSpaceDE w:val="0"/>
      <w:autoSpaceDN w:val="0"/>
      <w:spacing w:line="240" w:lineRule="auto"/>
      <w:jc w:val="left"/>
    </w:pPr>
    <w:rPr>
      <w:rFonts w:eastAsia="Times New Roman"/>
      <w:sz w:val="22"/>
      <w:szCs w:val="22"/>
      <w:lang w:val="en-US"/>
    </w:rPr>
  </w:style>
  <w:style w:type="paragraph" w:styleId="Heading1">
    <w:name w:val="heading 1"/>
    <w:basedOn w:val="Normal"/>
    <w:next w:val="Normal"/>
    <w:link w:val="Heading1Char"/>
    <w:uiPriority w:val="9"/>
    <w:qFormat/>
    <w:rsid w:val="004B101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81A3A"/>
    <w:pPr>
      <w:outlineLvl w:val="1"/>
    </w:pPr>
    <w:rPr>
      <w:b/>
      <w:bCs/>
      <w:sz w:val="24"/>
      <w:szCs w:val="24"/>
    </w:rPr>
  </w:style>
  <w:style w:type="paragraph" w:styleId="Heading3">
    <w:name w:val="heading 3"/>
    <w:basedOn w:val="Normal"/>
    <w:next w:val="Normal"/>
    <w:link w:val="Heading3Char"/>
    <w:uiPriority w:val="9"/>
    <w:unhideWhenUsed/>
    <w:qFormat/>
    <w:rsid w:val="00F26C6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3186"/>
    <w:rPr>
      <w:rFonts w:ascii="Tahoma" w:hAnsi="Tahoma" w:cs="Tahoma"/>
      <w:sz w:val="16"/>
      <w:szCs w:val="16"/>
    </w:rPr>
  </w:style>
  <w:style w:type="character" w:customStyle="1" w:styleId="BalloonTextChar">
    <w:name w:val="Balloon Text Char"/>
    <w:basedOn w:val="DefaultParagraphFont"/>
    <w:link w:val="BalloonText"/>
    <w:uiPriority w:val="99"/>
    <w:semiHidden/>
    <w:rsid w:val="00E83186"/>
    <w:rPr>
      <w:rFonts w:ascii="Tahoma" w:eastAsia="Times New Roman" w:hAnsi="Tahoma" w:cs="Tahoma"/>
      <w:sz w:val="16"/>
      <w:szCs w:val="16"/>
      <w:lang w:val="en-US"/>
    </w:rPr>
  </w:style>
  <w:style w:type="character" w:styleId="Hyperlink">
    <w:name w:val="Hyperlink"/>
    <w:basedOn w:val="DefaultParagraphFont"/>
    <w:uiPriority w:val="99"/>
    <w:unhideWhenUsed/>
    <w:rsid w:val="00F81A3A"/>
    <w:rPr>
      <w:color w:val="0000FF" w:themeColor="hyperlink"/>
      <w:u w:val="single"/>
    </w:rPr>
  </w:style>
  <w:style w:type="paragraph" w:styleId="ListParagraph">
    <w:name w:val="List Paragraph"/>
    <w:basedOn w:val="Normal"/>
    <w:uiPriority w:val="34"/>
    <w:qFormat/>
    <w:rsid w:val="00F81A3A"/>
    <w:pPr>
      <w:ind w:left="720"/>
      <w:contextualSpacing/>
    </w:pPr>
  </w:style>
  <w:style w:type="character" w:customStyle="1" w:styleId="Heading2Char">
    <w:name w:val="Heading 2 Char"/>
    <w:basedOn w:val="DefaultParagraphFont"/>
    <w:link w:val="Heading2"/>
    <w:uiPriority w:val="9"/>
    <w:rsid w:val="00F81A3A"/>
    <w:rPr>
      <w:rFonts w:eastAsia="Times New Roman"/>
      <w:b/>
      <w:bCs/>
    </w:rPr>
  </w:style>
  <w:style w:type="character" w:customStyle="1" w:styleId="Heading1Char">
    <w:name w:val="Heading 1 Char"/>
    <w:basedOn w:val="DefaultParagraphFont"/>
    <w:link w:val="Heading1"/>
    <w:uiPriority w:val="9"/>
    <w:rsid w:val="004B1013"/>
    <w:rPr>
      <w:rFonts w:asciiTheme="majorHAnsi" w:eastAsiaTheme="majorEastAsia" w:hAnsiTheme="majorHAnsi" w:cstheme="majorBidi"/>
      <w:b/>
      <w:bCs/>
      <w:color w:val="365F91" w:themeColor="accent1" w:themeShade="BF"/>
      <w:sz w:val="28"/>
      <w:szCs w:val="28"/>
      <w:lang w:val="en-US"/>
    </w:rPr>
  </w:style>
  <w:style w:type="paragraph" w:styleId="Header">
    <w:name w:val="header"/>
    <w:basedOn w:val="Normal"/>
    <w:link w:val="HeaderChar"/>
    <w:uiPriority w:val="99"/>
    <w:unhideWhenUsed/>
    <w:rsid w:val="00685615"/>
    <w:pPr>
      <w:tabs>
        <w:tab w:val="center" w:pos="4680"/>
        <w:tab w:val="right" w:pos="9360"/>
      </w:tabs>
    </w:pPr>
  </w:style>
  <w:style w:type="character" w:customStyle="1" w:styleId="HeaderChar">
    <w:name w:val="Header Char"/>
    <w:basedOn w:val="DefaultParagraphFont"/>
    <w:link w:val="Header"/>
    <w:uiPriority w:val="99"/>
    <w:rsid w:val="00685615"/>
    <w:rPr>
      <w:rFonts w:eastAsia="Times New Roman"/>
      <w:sz w:val="22"/>
      <w:szCs w:val="22"/>
      <w:lang w:val="en-US"/>
    </w:rPr>
  </w:style>
  <w:style w:type="paragraph" w:styleId="Footer">
    <w:name w:val="footer"/>
    <w:basedOn w:val="Normal"/>
    <w:link w:val="FooterChar"/>
    <w:uiPriority w:val="99"/>
    <w:unhideWhenUsed/>
    <w:rsid w:val="00685615"/>
    <w:pPr>
      <w:tabs>
        <w:tab w:val="center" w:pos="4680"/>
        <w:tab w:val="right" w:pos="9360"/>
      </w:tabs>
    </w:pPr>
  </w:style>
  <w:style w:type="character" w:customStyle="1" w:styleId="FooterChar">
    <w:name w:val="Footer Char"/>
    <w:basedOn w:val="DefaultParagraphFont"/>
    <w:link w:val="Footer"/>
    <w:uiPriority w:val="99"/>
    <w:rsid w:val="00685615"/>
    <w:rPr>
      <w:rFonts w:eastAsia="Times New Roman"/>
      <w:sz w:val="22"/>
      <w:szCs w:val="22"/>
      <w:lang w:val="en-US"/>
    </w:rPr>
  </w:style>
  <w:style w:type="paragraph" w:styleId="DocumentMap">
    <w:name w:val="Document Map"/>
    <w:basedOn w:val="Normal"/>
    <w:link w:val="DocumentMapChar"/>
    <w:uiPriority w:val="99"/>
    <w:semiHidden/>
    <w:unhideWhenUsed/>
    <w:rsid w:val="00434C47"/>
    <w:rPr>
      <w:rFonts w:ascii="Tahoma" w:hAnsi="Tahoma" w:cs="Tahoma"/>
      <w:sz w:val="16"/>
      <w:szCs w:val="16"/>
    </w:rPr>
  </w:style>
  <w:style w:type="character" w:customStyle="1" w:styleId="DocumentMapChar">
    <w:name w:val="Document Map Char"/>
    <w:basedOn w:val="DefaultParagraphFont"/>
    <w:link w:val="DocumentMap"/>
    <w:uiPriority w:val="99"/>
    <w:semiHidden/>
    <w:rsid w:val="00434C47"/>
    <w:rPr>
      <w:rFonts w:ascii="Tahoma" w:eastAsia="Times New Roman" w:hAnsi="Tahoma" w:cs="Tahoma"/>
      <w:sz w:val="16"/>
      <w:szCs w:val="16"/>
      <w:lang w:val="en-US"/>
    </w:rPr>
  </w:style>
  <w:style w:type="character" w:customStyle="1" w:styleId="Heading3Char">
    <w:name w:val="Heading 3 Char"/>
    <w:basedOn w:val="DefaultParagraphFont"/>
    <w:link w:val="Heading3"/>
    <w:uiPriority w:val="9"/>
    <w:rsid w:val="00F26C68"/>
    <w:rPr>
      <w:rFonts w:asciiTheme="majorHAnsi" w:eastAsiaTheme="majorEastAsia" w:hAnsiTheme="majorHAnsi" w:cstheme="majorBidi"/>
      <w:color w:val="243F60" w:themeColor="accent1" w:themeShade="7F"/>
      <w:lang w:val="en-US"/>
    </w:rPr>
  </w:style>
  <w:style w:type="character" w:styleId="FollowedHyperlink">
    <w:name w:val="FollowedHyperlink"/>
    <w:basedOn w:val="DefaultParagraphFont"/>
    <w:uiPriority w:val="99"/>
    <w:semiHidden/>
    <w:unhideWhenUsed/>
    <w:rsid w:val="001B54AB"/>
    <w:rPr>
      <w:color w:val="800080" w:themeColor="followedHyperlink"/>
      <w:u w:val="single"/>
    </w:rPr>
  </w:style>
  <w:style w:type="paragraph" w:styleId="FootnoteText">
    <w:name w:val="footnote text"/>
    <w:basedOn w:val="Normal"/>
    <w:link w:val="FootnoteTextChar"/>
    <w:uiPriority w:val="99"/>
    <w:semiHidden/>
    <w:unhideWhenUsed/>
    <w:rsid w:val="00F345FF"/>
    <w:rPr>
      <w:sz w:val="20"/>
      <w:szCs w:val="20"/>
    </w:rPr>
  </w:style>
  <w:style w:type="character" w:customStyle="1" w:styleId="FootnoteTextChar">
    <w:name w:val="Footnote Text Char"/>
    <w:basedOn w:val="DefaultParagraphFont"/>
    <w:link w:val="FootnoteText"/>
    <w:uiPriority w:val="99"/>
    <w:semiHidden/>
    <w:rsid w:val="00F345FF"/>
    <w:rPr>
      <w:rFonts w:eastAsia="Times New Roman"/>
      <w:sz w:val="20"/>
      <w:szCs w:val="20"/>
      <w:lang w:val="en-US"/>
    </w:rPr>
  </w:style>
  <w:style w:type="character" w:styleId="FootnoteReference">
    <w:name w:val="footnote reference"/>
    <w:basedOn w:val="DefaultParagraphFont"/>
    <w:uiPriority w:val="99"/>
    <w:semiHidden/>
    <w:unhideWhenUsed/>
    <w:rsid w:val="00F345FF"/>
    <w:rPr>
      <w:vertAlign w:val="superscript"/>
    </w:rPr>
  </w:style>
  <w:style w:type="paragraph" w:styleId="Title">
    <w:name w:val="Title"/>
    <w:basedOn w:val="Normal"/>
    <w:next w:val="Normal"/>
    <w:link w:val="TitleChar"/>
    <w:qFormat/>
    <w:rsid w:val="000C7512"/>
    <w:pPr>
      <w:widowControl/>
      <w:autoSpaceDE/>
      <w:autoSpaceDN/>
      <w:spacing w:before="240" w:after="60" w:line="276" w:lineRule="auto"/>
      <w:jc w:val="center"/>
      <w:outlineLvl w:val="0"/>
    </w:pPr>
    <w:rPr>
      <w:rFonts w:ascii="Cambria" w:hAnsi="Cambria"/>
      <w:b/>
      <w:bCs/>
      <w:kern w:val="28"/>
      <w:sz w:val="32"/>
      <w:szCs w:val="32"/>
    </w:rPr>
  </w:style>
  <w:style w:type="character" w:customStyle="1" w:styleId="TitleChar">
    <w:name w:val="Title Char"/>
    <w:basedOn w:val="DefaultParagraphFont"/>
    <w:link w:val="Title"/>
    <w:qFormat/>
    <w:rsid w:val="000C7512"/>
    <w:rPr>
      <w:rFonts w:ascii="Cambria" w:eastAsia="Times New Roman" w:hAnsi="Cambria"/>
      <w:b/>
      <w:bCs/>
      <w:kern w:val="28"/>
      <w:sz w:val="32"/>
      <w:szCs w:val="32"/>
      <w:lang w:val="en-US"/>
    </w:rPr>
  </w:style>
  <w:style w:type="table" w:styleId="TableGrid">
    <w:name w:val="Table Grid"/>
    <w:basedOn w:val="TableNormal"/>
    <w:uiPriority w:val="59"/>
    <w:rsid w:val="000C7512"/>
    <w:pPr>
      <w:spacing w:after="160" w:line="259" w:lineRule="auto"/>
      <w:jc w:val="left"/>
    </w:pPr>
    <w:rPr>
      <w:rFonts w:eastAsia="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stractTitle">
    <w:name w:val="Abstract Title"/>
    <w:basedOn w:val="Normal"/>
    <w:qFormat/>
    <w:rsid w:val="000C7512"/>
    <w:pPr>
      <w:widowControl/>
      <w:autoSpaceDE/>
      <w:autoSpaceDN/>
      <w:jc w:val="center"/>
    </w:pPr>
    <w:rPr>
      <w:b/>
      <w:sz w:val="24"/>
      <w:szCs w:val="20"/>
    </w:rPr>
  </w:style>
  <w:style w:type="paragraph" w:customStyle="1" w:styleId="AbstractText">
    <w:name w:val="Abstract Text"/>
    <w:basedOn w:val="BodyTextIndent2"/>
    <w:qFormat/>
    <w:rsid w:val="000C7512"/>
    <w:pPr>
      <w:widowControl/>
      <w:autoSpaceDE/>
      <w:autoSpaceDN/>
    </w:pPr>
    <w:rPr>
      <w:rFonts w:ascii="Calibri" w:hAnsi="Calibri"/>
    </w:rPr>
  </w:style>
  <w:style w:type="paragraph" w:customStyle="1" w:styleId="IEEEAbtract">
    <w:name w:val="IEEE Abtract"/>
    <w:basedOn w:val="Normal"/>
    <w:next w:val="Normal"/>
    <w:link w:val="IEEEAbtractChar"/>
    <w:qFormat/>
    <w:rsid w:val="000C7512"/>
    <w:pPr>
      <w:widowControl/>
      <w:autoSpaceDE/>
      <w:autoSpaceDN/>
      <w:adjustRightInd w:val="0"/>
      <w:snapToGrid w:val="0"/>
      <w:jc w:val="both"/>
    </w:pPr>
    <w:rPr>
      <w:rFonts w:eastAsia="SimSun"/>
      <w:b/>
      <w:sz w:val="18"/>
      <w:szCs w:val="24"/>
      <w:lang w:val="en-GB" w:eastAsia="en-GB"/>
    </w:rPr>
  </w:style>
  <w:style w:type="character" w:customStyle="1" w:styleId="IEEEAbtractChar">
    <w:name w:val="IEEE Abtract Char"/>
    <w:link w:val="IEEEAbtract"/>
    <w:qFormat/>
    <w:locked/>
    <w:rsid w:val="000C7512"/>
    <w:rPr>
      <w:rFonts w:eastAsia="SimSun"/>
      <w:b/>
      <w:sz w:val="18"/>
      <w:lang w:val="en-GB" w:eastAsia="en-GB"/>
    </w:rPr>
  </w:style>
  <w:style w:type="paragraph" w:styleId="BodyTextIndent2">
    <w:name w:val="Body Text Indent 2"/>
    <w:basedOn w:val="Normal"/>
    <w:link w:val="BodyTextIndent2Char"/>
    <w:uiPriority w:val="99"/>
    <w:semiHidden/>
    <w:unhideWhenUsed/>
    <w:rsid w:val="000C7512"/>
    <w:pPr>
      <w:spacing w:after="120" w:line="480" w:lineRule="auto"/>
      <w:ind w:left="283"/>
    </w:pPr>
  </w:style>
  <w:style w:type="character" w:customStyle="1" w:styleId="BodyTextIndent2Char">
    <w:name w:val="Body Text Indent 2 Char"/>
    <w:basedOn w:val="DefaultParagraphFont"/>
    <w:link w:val="BodyTextIndent2"/>
    <w:uiPriority w:val="99"/>
    <w:semiHidden/>
    <w:rsid w:val="000C7512"/>
    <w:rPr>
      <w:rFonts w:eastAsia="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273666">
      <w:bodyDiv w:val="1"/>
      <w:marLeft w:val="0"/>
      <w:marRight w:val="0"/>
      <w:marTop w:val="0"/>
      <w:marBottom w:val="0"/>
      <w:divBdr>
        <w:top w:val="none" w:sz="0" w:space="0" w:color="auto"/>
        <w:left w:val="none" w:sz="0" w:space="0" w:color="auto"/>
        <w:bottom w:val="none" w:sz="0" w:space="0" w:color="auto"/>
        <w:right w:val="none" w:sz="0" w:space="0" w:color="auto"/>
      </w:divBdr>
    </w:div>
    <w:div w:id="1405759947">
      <w:bodyDiv w:val="1"/>
      <w:marLeft w:val="0"/>
      <w:marRight w:val="0"/>
      <w:marTop w:val="0"/>
      <w:marBottom w:val="0"/>
      <w:divBdr>
        <w:top w:val="none" w:sz="0" w:space="0" w:color="auto"/>
        <w:left w:val="none" w:sz="0" w:space="0" w:color="auto"/>
        <w:bottom w:val="none" w:sz="0" w:space="0" w:color="auto"/>
        <w:right w:val="none" w:sz="0" w:space="0" w:color="auto"/>
      </w:divBdr>
    </w:div>
    <w:div w:id="1431270057">
      <w:bodyDiv w:val="1"/>
      <w:marLeft w:val="0"/>
      <w:marRight w:val="0"/>
      <w:marTop w:val="0"/>
      <w:marBottom w:val="0"/>
      <w:divBdr>
        <w:top w:val="none" w:sz="0" w:space="0" w:color="auto"/>
        <w:left w:val="none" w:sz="0" w:space="0" w:color="auto"/>
        <w:bottom w:val="none" w:sz="0" w:space="0" w:color="auto"/>
        <w:right w:val="none" w:sz="0" w:space="0" w:color="auto"/>
      </w:divBdr>
    </w:div>
    <w:div w:id="1474371381">
      <w:bodyDiv w:val="1"/>
      <w:marLeft w:val="0"/>
      <w:marRight w:val="0"/>
      <w:marTop w:val="0"/>
      <w:marBottom w:val="0"/>
      <w:divBdr>
        <w:top w:val="none" w:sz="0" w:space="0" w:color="auto"/>
        <w:left w:val="none" w:sz="0" w:space="0" w:color="auto"/>
        <w:bottom w:val="none" w:sz="0" w:space="0" w:color="auto"/>
        <w:right w:val="none" w:sz="0" w:space="0" w:color="auto"/>
      </w:divBdr>
    </w:div>
    <w:div w:id="1893036625">
      <w:bodyDiv w:val="1"/>
      <w:marLeft w:val="0"/>
      <w:marRight w:val="0"/>
      <w:marTop w:val="0"/>
      <w:marBottom w:val="0"/>
      <w:divBdr>
        <w:top w:val="none" w:sz="0" w:space="0" w:color="auto"/>
        <w:left w:val="none" w:sz="0" w:space="0" w:color="auto"/>
        <w:bottom w:val="none" w:sz="0" w:space="0" w:color="auto"/>
        <w:right w:val="none" w:sz="0" w:space="0" w:color="auto"/>
      </w:divBdr>
    </w:div>
    <w:div w:id="199645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us_miswanto@ummgl.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journals.ums.ac.id/index.php/laj/article/view/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20A9A-3E2D-4FD9-971E-C8CC92407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7334</Words>
  <Characters>41810</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heri</dc:creator>
  <cp:lastModifiedBy>Windows User</cp:lastModifiedBy>
  <cp:revision>5</cp:revision>
  <dcterms:created xsi:type="dcterms:W3CDTF">2020-11-21T12:22:00Z</dcterms:created>
  <dcterms:modified xsi:type="dcterms:W3CDTF">2020-11-21T13:07:00Z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d3739d8a-39de-31de-9e29-320569944557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