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E93" w:rsidRPr="002E0A6F" w:rsidRDefault="00150E93" w:rsidP="00AF77A1">
      <w:pPr>
        <w:jc w:val="center"/>
        <w:rPr>
          <w:rFonts w:ascii="Century Schoolbook" w:hAnsi="Century Schoolbook" w:cs="Arial"/>
          <w:sz w:val="24"/>
          <w:szCs w:val="24"/>
        </w:rPr>
      </w:pPr>
      <w:r w:rsidRPr="002E0A6F">
        <w:rPr>
          <w:rFonts w:ascii="Century Schoolbook" w:hAnsi="Century Schoolbook" w:cs="Arial"/>
          <w:sz w:val="24"/>
          <w:szCs w:val="24"/>
        </w:rPr>
        <w:t>Factors Affecting Sustainability of alternative</w:t>
      </w:r>
      <w:r w:rsidR="0045529A">
        <w:rPr>
          <w:rFonts w:ascii="Century Schoolbook" w:hAnsi="Century Schoolbook" w:cs="Arial"/>
          <w:sz w:val="24"/>
          <w:szCs w:val="24"/>
        </w:rPr>
        <w:t>s</w:t>
      </w:r>
      <w:r w:rsidRPr="002E0A6F">
        <w:rPr>
          <w:rFonts w:ascii="Century Schoolbook" w:hAnsi="Century Schoolbook" w:cs="Arial"/>
          <w:sz w:val="24"/>
          <w:szCs w:val="24"/>
        </w:rPr>
        <w:t xml:space="preserve"> livelihood in coastal community of Nembrala East Nusa Tenggara</w:t>
      </w:r>
      <w:r w:rsidR="00B4389F" w:rsidRPr="002E0A6F">
        <w:rPr>
          <w:rFonts w:ascii="Century Schoolbook" w:hAnsi="Century Schoolbook" w:cs="Arial"/>
          <w:sz w:val="24"/>
          <w:szCs w:val="24"/>
        </w:rPr>
        <w:t>: An Application of MICMAC Method</w:t>
      </w:r>
    </w:p>
    <w:p w:rsidR="002F3C5D" w:rsidRPr="002E0A6F" w:rsidRDefault="002F3C5D" w:rsidP="002F3C5D">
      <w:pPr>
        <w:spacing w:line="0" w:lineRule="atLeast"/>
        <w:ind w:left="2560"/>
        <w:rPr>
          <w:rFonts w:ascii="Century Schoolbook" w:eastAsia="Century Schoolbook" w:hAnsi="Century Schoolbook" w:cs="Arial"/>
          <w:b/>
          <w:sz w:val="24"/>
          <w:szCs w:val="24"/>
        </w:rPr>
      </w:pPr>
    </w:p>
    <w:p w:rsidR="002F3C5D" w:rsidRPr="002E0A6F" w:rsidRDefault="002F3C5D" w:rsidP="002F3C5D">
      <w:pPr>
        <w:spacing w:line="0" w:lineRule="atLeast"/>
        <w:ind w:left="2560"/>
        <w:rPr>
          <w:rFonts w:ascii="Century Schoolbook" w:eastAsia="Century Schoolbook" w:hAnsi="Century Schoolbook" w:cs="Arial"/>
          <w:b/>
          <w:sz w:val="24"/>
          <w:szCs w:val="24"/>
        </w:rPr>
      </w:pPr>
      <w:r w:rsidRPr="002E0A6F">
        <w:rPr>
          <w:rFonts w:ascii="Century Schoolbook" w:eastAsia="Century Schoolbook" w:hAnsi="Century Schoolbook" w:cs="Arial"/>
          <w:b/>
          <w:sz w:val="24"/>
          <w:szCs w:val="24"/>
        </w:rPr>
        <w:t>Chaterina A. Paulus</w:t>
      </w:r>
      <w:r w:rsidRPr="002E0A6F">
        <w:rPr>
          <w:rFonts w:ascii="Century Schoolbook" w:eastAsia="Century Schoolbook" w:hAnsi="Century Schoolbook" w:cs="Arial"/>
          <w:b/>
          <w:sz w:val="24"/>
          <w:szCs w:val="24"/>
          <w:vertAlign w:val="superscript"/>
        </w:rPr>
        <w:t>1</w:t>
      </w:r>
      <w:r w:rsidRPr="002E0A6F">
        <w:rPr>
          <w:rFonts w:ascii="Century Schoolbook" w:eastAsia="Century Schoolbook" w:hAnsi="Century Schoolbook" w:cs="Arial"/>
          <w:b/>
          <w:sz w:val="24"/>
          <w:szCs w:val="24"/>
        </w:rPr>
        <w:t>*, Akhmad Fauzi</w:t>
      </w:r>
      <w:r w:rsidRPr="002E0A6F">
        <w:rPr>
          <w:rFonts w:ascii="Century Schoolbook" w:eastAsia="Century Schoolbook" w:hAnsi="Century Schoolbook" w:cs="Arial"/>
          <w:b/>
          <w:sz w:val="24"/>
          <w:szCs w:val="24"/>
          <w:vertAlign w:val="superscript"/>
        </w:rPr>
        <w:t>2</w:t>
      </w:r>
    </w:p>
    <w:p w:rsidR="002F3C5D" w:rsidRPr="002E0A6F" w:rsidRDefault="002F3C5D" w:rsidP="002F3C5D">
      <w:pPr>
        <w:spacing w:line="0" w:lineRule="atLeast"/>
        <w:jc w:val="center"/>
        <w:rPr>
          <w:rFonts w:ascii="Century Schoolbook" w:eastAsia="Century Schoolbook" w:hAnsi="Century Schoolbook" w:cs="Arial"/>
        </w:rPr>
      </w:pPr>
      <w:r w:rsidRPr="002E0A6F">
        <w:rPr>
          <w:rFonts w:ascii="Century Schoolbook" w:eastAsia="Century Schoolbook" w:hAnsi="Century Schoolbook" w:cs="Arial"/>
          <w:vertAlign w:val="superscript"/>
        </w:rPr>
        <w:t>1</w:t>
      </w:r>
      <w:r w:rsidRPr="002E0A6F">
        <w:rPr>
          <w:rFonts w:ascii="Century Schoolbook" w:eastAsia="Century Schoolbook" w:hAnsi="Century Schoolbook" w:cs="Arial"/>
        </w:rPr>
        <w:t>Department of Aquatic Resource Management, Faculty of Marine Science and Fisheries, Nusa Cendana Univer</w:t>
      </w:r>
      <w:r w:rsidR="00992F77">
        <w:rPr>
          <w:rFonts w:ascii="Century Schoolbook" w:eastAsia="Century Schoolbook" w:hAnsi="Century Schoolbook" w:cs="Arial"/>
        </w:rPr>
        <w:t>s</w:t>
      </w:r>
      <w:r w:rsidRPr="002E0A6F">
        <w:rPr>
          <w:rFonts w:ascii="Century Schoolbook" w:eastAsia="Century Schoolbook" w:hAnsi="Century Schoolbook" w:cs="Arial"/>
        </w:rPr>
        <w:t xml:space="preserve">ity, </w:t>
      </w:r>
      <w:r w:rsidRPr="002E0A6F">
        <w:rPr>
          <w:rFonts w:ascii="Century Schoolbook" w:hAnsi="Century Schoolbook"/>
          <w:color w:val="231F20"/>
        </w:rPr>
        <w:t>Indonesia</w:t>
      </w:r>
    </w:p>
    <w:p w:rsidR="002F3C5D" w:rsidRPr="002E0A6F" w:rsidRDefault="002F3C5D" w:rsidP="002F3C5D">
      <w:pPr>
        <w:jc w:val="center"/>
        <w:rPr>
          <w:rFonts w:ascii="Century Schoolbook" w:eastAsia="Century Schoolbook" w:hAnsi="Century Schoolbook" w:cs="Arial"/>
        </w:rPr>
      </w:pPr>
      <w:r w:rsidRPr="002E0A6F">
        <w:rPr>
          <w:rFonts w:ascii="Century Schoolbook" w:eastAsia="Century Schoolbook" w:hAnsi="Century Schoolbook" w:cs="Arial"/>
          <w:vertAlign w:val="superscript"/>
        </w:rPr>
        <w:t>2</w:t>
      </w:r>
      <w:r w:rsidRPr="002E0A6F">
        <w:rPr>
          <w:rFonts w:ascii="Century Schoolbook" w:eastAsia="Century Schoolbook" w:hAnsi="Century Schoolbook" w:cs="Arial"/>
        </w:rPr>
        <w:t xml:space="preserve">Department of  Resource and Environmental Economics, Faculty of Economics and Management, Bogor Agricultural Institute, </w:t>
      </w:r>
      <w:r w:rsidRPr="002E0A6F">
        <w:rPr>
          <w:rFonts w:ascii="Century Schoolbook" w:hAnsi="Century Schoolbook"/>
          <w:color w:val="231F20"/>
        </w:rPr>
        <w:t>Indonesia</w:t>
      </w:r>
    </w:p>
    <w:p w:rsidR="002F3C5D" w:rsidRPr="002E0A6F" w:rsidRDefault="002F3C5D" w:rsidP="002F3C5D">
      <w:pPr>
        <w:spacing w:line="0" w:lineRule="atLeast"/>
        <w:jc w:val="center"/>
        <w:rPr>
          <w:rFonts w:ascii="Century Schoolbook" w:eastAsia="Century Schoolbook" w:hAnsi="Century Schoolbook" w:cs="Arial"/>
        </w:rPr>
      </w:pPr>
      <w:r w:rsidRPr="002E0A6F">
        <w:rPr>
          <w:rFonts w:ascii="Century Schoolbook" w:eastAsia="Century Schoolbook" w:hAnsi="Century Schoolbook" w:cs="Arial"/>
        </w:rPr>
        <w:t>*Correspondence E-mail: paulus.chaterina@gmail.com</w:t>
      </w:r>
    </w:p>
    <w:p w:rsidR="00150E93" w:rsidRPr="002E0A6F" w:rsidRDefault="00150E93">
      <w:pPr>
        <w:rPr>
          <w:rFonts w:ascii="Century Schoolbook" w:hAnsi="Century Schoolbook" w:cs="Arial"/>
        </w:rPr>
      </w:pPr>
    </w:p>
    <w:p w:rsidR="00150E93" w:rsidRPr="002E0A6F" w:rsidRDefault="00150E93" w:rsidP="00AF77A1">
      <w:pPr>
        <w:jc w:val="center"/>
        <w:rPr>
          <w:rFonts w:ascii="Century Schoolbook" w:hAnsi="Century Schoolbook" w:cs="Arial"/>
          <w:sz w:val="24"/>
          <w:szCs w:val="24"/>
        </w:rPr>
      </w:pPr>
      <w:r w:rsidRPr="002E0A6F">
        <w:rPr>
          <w:rFonts w:ascii="Century Schoolbook" w:hAnsi="Century Schoolbook" w:cs="Arial"/>
          <w:sz w:val="24"/>
          <w:szCs w:val="24"/>
        </w:rPr>
        <w:t>Abstract</w:t>
      </w:r>
    </w:p>
    <w:p w:rsidR="005625DB" w:rsidRPr="002E0A6F" w:rsidRDefault="00150E93" w:rsidP="00AF77A1">
      <w:pPr>
        <w:ind w:left="810" w:right="990"/>
        <w:jc w:val="both"/>
        <w:rPr>
          <w:rFonts w:ascii="Century Schoolbook" w:hAnsi="Century Schoolbook" w:cs="Arial"/>
          <w:sz w:val="24"/>
          <w:szCs w:val="24"/>
        </w:rPr>
      </w:pPr>
      <w:r w:rsidRPr="002E0A6F">
        <w:rPr>
          <w:rFonts w:ascii="Century Schoolbook" w:hAnsi="Century Schoolbook" w:cs="Arial"/>
          <w:sz w:val="24"/>
          <w:szCs w:val="24"/>
        </w:rPr>
        <w:t xml:space="preserve">Coastal communities are known to prone to vulnerability arising from their nature of work. As they are mostly working as fishermen, natural hazards, isolation and climate variabilities are often constraining their ability to obtain sufficient income to support their livelihood. Hence, finding </w:t>
      </w:r>
      <w:r w:rsidR="00A24A03" w:rsidRPr="002E0A6F">
        <w:rPr>
          <w:rFonts w:ascii="Century Schoolbook" w:hAnsi="Century Schoolbook" w:cs="Arial"/>
          <w:sz w:val="24"/>
          <w:szCs w:val="24"/>
        </w:rPr>
        <w:t xml:space="preserve">sustainable </w:t>
      </w:r>
      <w:r w:rsidRPr="002E0A6F">
        <w:rPr>
          <w:rFonts w:ascii="Century Schoolbook" w:hAnsi="Century Schoolbook" w:cs="Arial"/>
          <w:sz w:val="24"/>
          <w:szCs w:val="24"/>
        </w:rPr>
        <w:t>alternatives source of income is a sensible way to cope with such uncertainty and vulnerability.</w:t>
      </w:r>
      <w:r w:rsidR="00A24A03" w:rsidRPr="002E0A6F">
        <w:rPr>
          <w:rFonts w:ascii="Century Schoolbook" w:hAnsi="Century Schoolbook" w:cs="Arial"/>
          <w:sz w:val="24"/>
          <w:szCs w:val="24"/>
        </w:rPr>
        <w:t xml:space="preserve"> Achieving sustainable income, nevertheless, is challenging issue since it is affected by var</w:t>
      </w:r>
      <w:r w:rsidR="00AF77A1" w:rsidRPr="002E0A6F">
        <w:rPr>
          <w:rFonts w:ascii="Century Schoolbook" w:hAnsi="Century Schoolbook" w:cs="Arial"/>
          <w:sz w:val="24"/>
          <w:szCs w:val="24"/>
        </w:rPr>
        <w:t>i</w:t>
      </w:r>
      <w:r w:rsidR="00A24A03" w:rsidRPr="002E0A6F">
        <w:rPr>
          <w:rFonts w:ascii="Century Schoolbook" w:hAnsi="Century Schoolbook" w:cs="Arial"/>
          <w:sz w:val="24"/>
          <w:szCs w:val="24"/>
        </w:rPr>
        <w:t>ous factors from socio-economic as well as institutional perspectives. This paper is an attempt to assess the issue of alternative livelihood by identifying key variables affecting its sustainability. A MICMAC method was us</w:t>
      </w:r>
      <w:r w:rsidR="00AF77A1" w:rsidRPr="002E0A6F">
        <w:rPr>
          <w:rFonts w:ascii="Century Schoolbook" w:hAnsi="Century Schoolbook" w:cs="Arial"/>
          <w:sz w:val="24"/>
          <w:szCs w:val="24"/>
        </w:rPr>
        <w:t xml:space="preserve">ed and key variables </w:t>
      </w:r>
      <w:r w:rsidR="00A24A03" w:rsidRPr="002E0A6F">
        <w:rPr>
          <w:rFonts w:ascii="Century Schoolbook" w:hAnsi="Century Schoolbook" w:cs="Arial"/>
          <w:sz w:val="24"/>
          <w:szCs w:val="24"/>
        </w:rPr>
        <w:t xml:space="preserve">from the analysis were then </w:t>
      </w:r>
      <w:r w:rsidR="00AF77A1" w:rsidRPr="002E0A6F">
        <w:rPr>
          <w:rFonts w:ascii="Century Schoolbook" w:hAnsi="Century Schoolbook" w:cs="Arial"/>
          <w:sz w:val="24"/>
          <w:szCs w:val="24"/>
        </w:rPr>
        <w:t xml:space="preserve">identified to support sustainable alternative livelihood in the communities. Lessons learned were also drawn from this study for policy makers and fisheries authorities in the regions. </w:t>
      </w:r>
      <w:r w:rsidR="00A24A03" w:rsidRPr="002E0A6F">
        <w:rPr>
          <w:rFonts w:ascii="Century Schoolbook" w:hAnsi="Century Schoolbook" w:cs="Arial"/>
          <w:sz w:val="24"/>
          <w:szCs w:val="24"/>
        </w:rPr>
        <w:t xml:space="preserve">   </w:t>
      </w:r>
      <w:r w:rsidRPr="002E0A6F">
        <w:rPr>
          <w:rFonts w:ascii="Century Schoolbook" w:hAnsi="Century Schoolbook" w:cs="Arial"/>
          <w:sz w:val="24"/>
          <w:szCs w:val="24"/>
        </w:rPr>
        <w:t xml:space="preserve">  </w:t>
      </w:r>
    </w:p>
    <w:p w:rsidR="00AF77A1" w:rsidRPr="002E0A6F" w:rsidRDefault="00AF77A1" w:rsidP="00AF77A1">
      <w:pPr>
        <w:ind w:left="810" w:right="990"/>
        <w:jc w:val="both"/>
        <w:rPr>
          <w:rFonts w:ascii="Century Schoolbook" w:hAnsi="Century Schoolbook" w:cs="Arial"/>
          <w:sz w:val="24"/>
          <w:szCs w:val="24"/>
        </w:rPr>
      </w:pPr>
      <w:r w:rsidRPr="002E0A6F">
        <w:rPr>
          <w:rFonts w:ascii="Century Schoolbook" w:hAnsi="Century Schoolbook" w:cs="Arial"/>
          <w:sz w:val="24"/>
          <w:szCs w:val="24"/>
        </w:rPr>
        <w:t>Keywords: Sustainability, alternative livelihood, coastal communities, vulnerability, MICMAC.</w:t>
      </w:r>
    </w:p>
    <w:p w:rsidR="00AF77A1" w:rsidRPr="002E0A6F" w:rsidRDefault="00AF77A1" w:rsidP="00AF77A1">
      <w:pPr>
        <w:ind w:left="810" w:right="990"/>
        <w:jc w:val="both"/>
        <w:rPr>
          <w:rFonts w:ascii="Century Schoolbook" w:hAnsi="Century Schoolbook" w:cs="Arial"/>
          <w:sz w:val="24"/>
          <w:szCs w:val="24"/>
        </w:rPr>
      </w:pPr>
    </w:p>
    <w:p w:rsidR="00182A59" w:rsidRPr="002E0A6F" w:rsidRDefault="00F57D61" w:rsidP="00182A59">
      <w:pPr>
        <w:jc w:val="both"/>
        <w:rPr>
          <w:rFonts w:ascii="Century Schoolbook" w:hAnsi="Century Schoolbook" w:cs="Arial"/>
          <w:b/>
          <w:sz w:val="24"/>
          <w:szCs w:val="24"/>
        </w:rPr>
      </w:pPr>
      <w:r w:rsidRPr="002E0A6F">
        <w:rPr>
          <w:rFonts w:ascii="Century Schoolbook" w:hAnsi="Century Schoolbook" w:cs="Arial"/>
          <w:b/>
          <w:sz w:val="24"/>
          <w:szCs w:val="24"/>
        </w:rPr>
        <w:t>Introduction</w:t>
      </w:r>
    </w:p>
    <w:p w:rsidR="00F57D61" w:rsidRPr="002E0A6F" w:rsidRDefault="0045529A" w:rsidP="00182A59">
      <w:pPr>
        <w:jc w:val="both"/>
        <w:rPr>
          <w:rFonts w:ascii="Century Schoolbook" w:hAnsi="Century Schoolbook" w:cs="Arial"/>
          <w:sz w:val="24"/>
          <w:szCs w:val="24"/>
        </w:rPr>
      </w:pPr>
      <w:r>
        <w:rPr>
          <w:rFonts w:ascii="Century Schoolbook" w:hAnsi="Century Schoolbook" w:cs="Arial"/>
          <w:sz w:val="24"/>
          <w:szCs w:val="24"/>
        </w:rPr>
        <w:t>Coastal communities</w:t>
      </w:r>
      <w:r w:rsidR="001D7B7A">
        <w:rPr>
          <w:rFonts w:ascii="Century Schoolbook" w:hAnsi="Century Schoolbook" w:cs="Arial"/>
          <w:sz w:val="24"/>
          <w:szCs w:val="24"/>
        </w:rPr>
        <w:t xml:space="preserve"> engaging in small-scale fishing</w:t>
      </w:r>
      <w:r>
        <w:rPr>
          <w:rFonts w:ascii="Century Schoolbook" w:hAnsi="Century Schoolbook" w:cs="Arial"/>
          <w:sz w:val="24"/>
          <w:szCs w:val="24"/>
        </w:rPr>
        <w:t xml:space="preserve"> activities</w:t>
      </w:r>
      <w:r w:rsidR="00F57D61" w:rsidRPr="002E0A6F">
        <w:rPr>
          <w:rFonts w:ascii="Century Schoolbook" w:hAnsi="Century Schoolbook" w:cs="Arial"/>
          <w:sz w:val="24"/>
          <w:szCs w:val="24"/>
        </w:rPr>
        <w:t>, esp</w:t>
      </w:r>
      <w:r w:rsidR="00AF7F06">
        <w:rPr>
          <w:rFonts w:ascii="Century Schoolbook" w:hAnsi="Century Schoolbook" w:cs="Arial"/>
          <w:sz w:val="24"/>
          <w:szCs w:val="24"/>
        </w:rPr>
        <w:t xml:space="preserve">ecially in developing countries play a greater in rural economy (Bene, 2006). The contribution </w:t>
      </w:r>
      <w:r>
        <w:rPr>
          <w:rFonts w:ascii="Century Schoolbook" w:hAnsi="Century Schoolbook" w:cs="Arial"/>
          <w:sz w:val="24"/>
          <w:szCs w:val="24"/>
        </w:rPr>
        <w:t>of the</w:t>
      </w:r>
      <w:r w:rsidR="001D7B7A">
        <w:rPr>
          <w:rFonts w:ascii="Century Schoolbook" w:hAnsi="Century Schoolbook" w:cs="Arial"/>
          <w:sz w:val="24"/>
          <w:szCs w:val="24"/>
        </w:rPr>
        <w:t>s</w:t>
      </w:r>
      <w:r>
        <w:rPr>
          <w:rFonts w:ascii="Century Schoolbook" w:hAnsi="Century Schoolbook" w:cs="Arial"/>
          <w:sz w:val="24"/>
          <w:szCs w:val="24"/>
        </w:rPr>
        <w:t>e communities</w:t>
      </w:r>
      <w:r w:rsidR="001D7B7A">
        <w:rPr>
          <w:rFonts w:ascii="Century Schoolbook" w:hAnsi="Century Schoolbook" w:cs="Arial"/>
          <w:sz w:val="24"/>
          <w:szCs w:val="24"/>
        </w:rPr>
        <w:t xml:space="preserve"> is not only in the absorption of labor force but also in </w:t>
      </w:r>
      <w:r>
        <w:rPr>
          <w:rFonts w:ascii="Century Schoolbook" w:hAnsi="Century Schoolbook" w:cs="Arial"/>
          <w:sz w:val="24"/>
          <w:szCs w:val="24"/>
        </w:rPr>
        <w:t xml:space="preserve">terms of livelihood in </w:t>
      </w:r>
      <w:r w:rsidR="001D7B7A">
        <w:rPr>
          <w:rFonts w:ascii="Century Schoolbook" w:hAnsi="Century Schoolbook" w:cs="Arial"/>
          <w:sz w:val="24"/>
          <w:szCs w:val="24"/>
        </w:rPr>
        <w:t>a broader (Barnes-Mauthe et al, 2013). Despite their importance,</w:t>
      </w:r>
      <w:r>
        <w:rPr>
          <w:rFonts w:ascii="Century Schoolbook" w:hAnsi="Century Schoolbook" w:cs="Arial"/>
          <w:sz w:val="24"/>
          <w:szCs w:val="24"/>
        </w:rPr>
        <w:t xml:space="preserve"> however, coastal communities</w:t>
      </w:r>
      <w:r w:rsidR="001D7B7A">
        <w:rPr>
          <w:rFonts w:ascii="Century Schoolbook" w:hAnsi="Century Schoolbook" w:cs="Arial"/>
          <w:sz w:val="24"/>
          <w:szCs w:val="24"/>
        </w:rPr>
        <w:t xml:space="preserve"> </w:t>
      </w:r>
      <w:r w:rsidR="00F57D61" w:rsidRPr="002E0A6F">
        <w:rPr>
          <w:rFonts w:ascii="Century Schoolbook" w:hAnsi="Century Schoolbook" w:cs="Arial"/>
          <w:sz w:val="24"/>
          <w:szCs w:val="24"/>
        </w:rPr>
        <w:t>are susceptible to any disturbances arising both from natural as well as anthropogenic sources</w:t>
      </w:r>
      <w:r w:rsidR="001D7B7A">
        <w:rPr>
          <w:rFonts w:ascii="Century Schoolbook" w:hAnsi="Century Schoolbook" w:cs="Arial"/>
          <w:sz w:val="24"/>
          <w:szCs w:val="24"/>
        </w:rPr>
        <w:t xml:space="preserve"> (Ferrol-Schulte, et al, 2015)</w:t>
      </w:r>
      <w:r w:rsidR="00F57D61" w:rsidRPr="002E0A6F">
        <w:rPr>
          <w:rFonts w:ascii="Century Schoolbook" w:hAnsi="Century Schoolbook" w:cs="Arial"/>
          <w:sz w:val="24"/>
          <w:szCs w:val="24"/>
        </w:rPr>
        <w:t xml:space="preserve">. Most coastal </w:t>
      </w:r>
      <w:r w:rsidR="00F57D61" w:rsidRPr="002E0A6F">
        <w:rPr>
          <w:rFonts w:ascii="Century Schoolbook" w:hAnsi="Century Schoolbook" w:cs="Arial"/>
          <w:sz w:val="24"/>
          <w:szCs w:val="24"/>
        </w:rPr>
        <w:lastRenderedPageBreak/>
        <w:t xml:space="preserve">people are working as fishermen as the main source of income with very limited alternative source of livelihood. </w:t>
      </w:r>
      <w:r w:rsidR="00E80F93" w:rsidRPr="002E0A6F">
        <w:rPr>
          <w:rFonts w:ascii="Century Schoolbook" w:hAnsi="Century Schoolbook" w:cs="Arial"/>
          <w:sz w:val="24"/>
          <w:szCs w:val="24"/>
        </w:rPr>
        <w:t>Disturbances from natural hazard, climate variabilities as well as economic shocks due to their isolation making them more vulnerable to fall into a poverty trap.</w:t>
      </w:r>
      <w:r w:rsidR="001D7B7A">
        <w:rPr>
          <w:rFonts w:ascii="Century Schoolbook" w:hAnsi="Century Schoolbook" w:cs="Arial"/>
          <w:sz w:val="24"/>
          <w:szCs w:val="24"/>
        </w:rPr>
        <w:t xml:space="preserve">  Hence, developing alternatives livelihood is the only sensible way to cope with such vulnerability (Allison, 2001.,</w:t>
      </w:r>
      <w:r>
        <w:rPr>
          <w:rFonts w:ascii="Century Schoolbook" w:hAnsi="Century Schoolbook" w:cs="Arial"/>
          <w:sz w:val="24"/>
          <w:szCs w:val="24"/>
        </w:rPr>
        <w:t xml:space="preserve"> Sievanen, 2014).</w:t>
      </w:r>
      <w:r w:rsidR="001D7B7A">
        <w:rPr>
          <w:rFonts w:ascii="Century Schoolbook" w:hAnsi="Century Schoolbook" w:cs="Arial"/>
          <w:sz w:val="24"/>
          <w:szCs w:val="24"/>
        </w:rPr>
        <w:t xml:space="preserve"> </w:t>
      </w:r>
      <w:r w:rsidR="00E41ADF" w:rsidRPr="002E0A6F">
        <w:rPr>
          <w:rFonts w:ascii="Century Schoolbook" w:hAnsi="Century Schoolbook" w:cs="Arial"/>
          <w:sz w:val="24"/>
          <w:szCs w:val="24"/>
        </w:rPr>
        <w:t xml:space="preserve"> Such a situation is faced by coastal communities of Nembrala village in Rote island, East Nusa Tenggara province.</w:t>
      </w:r>
    </w:p>
    <w:p w:rsidR="00F57D61" w:rsidRPr="002E0A6F" w:rsidRDefault="00E41ADF" w:rsidP="00F57D61">
      <w:pPr>
        <w:jc w:val="both"/>
        <w:rPr>
          <w:rFonts w:ascii="Century Schoolbook" w:hAnsi="Century Schoolbook" w:cs="Arial"/>
          <w:sz w:val="24"/>
          <w:szCs w:val="24"/>
        </w:rPr>
      </w:pPr>
      <w:r w:rsidRPr="002E0A6F">
        <w:rPr>
          <w:rFonts w:ascii="Century Schoolbook" w:hAnsi="Century Schoolbook" w:cs="Arial"/>
          <w:sz w:val="24"/>
          <w:szCs w:val="24"/>
        </w:rPr>
        <w:t xml:space="preserve">Located in the southwest of Timor Island, </w:t>
      </w:r>
      <w:r w:rsidR="00F57D61" w:rsidRPr="002E0A6F">
        <w:rPr>
          <w:rFonts w:ascii="Century Schoolbook" w:hAnsi="Century Schoolbook" w:cs="Arial"/>
          <w:sz w:val="24"/>
          <w:szCs w:val="24"/>
        </w:rPr>
        <w:t>Rote island in East Nusa Tenggara is one of the smallest islands in the southern part of Indonesia. The total land area of this island is only 1,280.5 km</w:t>
      </w:r>
      <w:r w:rsidR="00F57D61" w:rsidRPr="002E0A6F">
        <w:rPr>
          <w:rFonts w:ascii="Century Schoolbook" w:hAnsi="Century Schoolbook" w:cs="Arial"/>
          <w:sz w:val="24"/>
          <w:szCs w:val="24"/>
          <w:vertAlign w:val="superscript"/>
        </w:rPr>
        <w:t>2</w:t>
      </w:r>
      <w:r w:rsidR="00F57D61" w:rsidRPr="002E0A6F">
        <w:rPr>
          <w:rFonts w:ascii="Century Schoolbook" w:hAnsi="Century Schoolbook" w:cs="Arial"/>
          <w:sz w:val="24"/>
          <w:szCs w:val="24"/>
        </w:rPr>
        <w:t xml:space="preserve"> , which is much smaller compared to its sea area surrounding the island, which is 2,376 km</w:t>
      </w:r>
      <w:r w:rsidR="00F57D61" w:rsidRPr="002E0A6F">
        <w:rPr>
          <w:rFonts w:ascii="Century Schoolbook" w:hAnsi="Century Schoolbook" w:cs="Arial"/>
          <w:sz w:val="24"/>
          <w:szCs w:val="24"/>
          <w:vertAlign w:val="superscript"/>
        </w:rPr>
        <w:t>2</w:t>
      </w:r>
      <w:r w:rsidR="00F57D61" w:rsidRPr="002E0A6F">
        <w:rPr>
          <w:rFonts w:ascii="Century Schoolbook" w:hAnsi="Century Schoolbook" w:cs="Arial"/>
          <w:sz w:val="24"/>
          <w:szCs w:val="24"/>
        </w:rPr>
        <w:t xml:space="preserve"> . With its comparative advantage on ocean resources, the Rote island should have been developed economically based on ocean resources such as fishing and tourism. Yet among 137 thousand people living in this island, more than 28% of its population are still living under poverty. This indicates that the natural resources of this island have not been used optimally.  Characterized by small island, natural hazards, climate variability and isolation might be attributed to the poverty and non-optimal use of island’s resources. Fishing as main source of occupation of the population is subject to vulnerabilities due to climate variabilities and natural hazards. This will have significant impacts on overall livelihoods of the communities.  Therefore, in order to cope with income uncertainties derived from fishing, some alternatives livelihoods should be develope</w:t>
      </w:r>
      <w:r w:rsidRPr="002E0A6F">
        <w:rPr>
          <w:rFonts w:ascii="Century Schoolbook" w:hAnsi="Century Schoolbook" w:cs="Arial"/>
          <w:sz w:val="24"/>
          <w:szCs w:val="24"/>
        </w:rPr>
        <w:t xml:space="preserve">d. Such alternative livelihoods </w:t>
      </w:r>
      <w:r w:rsidR="00F57D61" w:rsidRPr="002E0A6F">
        <w:rPr>
          <w:rFonts w:ascii="Century Schoolbook" w:hAnsi="Century Schoolbook" w:cs="Arial"/>
          <w:sz w:val="24"/>
          <w:szCs w:val="24"/>
        </w:rPr>
        <w:t xml:space="preserve">should </w:t>
      </w:r>
      <w:r w:rsidRPr="002E0A6F">
        <w:rPr>
          <w:rFonts w:ascii="Century Schoolbook" w:hAnsi="Century Schoolbook" w:cs="Arial"/>
          <w:sz w:val="24"/>
          <w:szCs w:val="24"/>
        </w:rPr>
        <w:t xml:space="preserve">not only </w:t>
      </w:r>
      <w:r w:rsidR="00F57D61" w:rsidRPr="002E0A6F">
        <w:rPr>
          <w:rFonts w:ascii="Century Schoolbook" w:hAnsi="Century Schoolbook" w:cs="Arial"/>
          <w:sz w:val="24"/>
          <w:szCs w:val="24"/>
        </w:rPr>
        <w:t>be affordable,</w:t>
      </w:r>
      <w:r w:rsidRPr="002E0A6F">
        <w:rPr>
          <w:rFonts w:ascii="Century Schoolbook" w:hAnsi="Century Schoolbook" w:cs="Arial"/>
          <w:sz w:val="24"/>
          <w:szCs w:val="24"/>
        </w:rPr>
        <w:t xml:space="preserve"> but also should be sustainable.</w:t>
      </w:r>
      <w:r w:rsidR="00CA1B5C" w:rsidRPr="002E0A6F">
        <w:rPr>
          <w:rFonts w:ascii="Century Schoolbook" w:hAnsi="Century Schoolbook" w:cs="Arial"/>
          <w:sz w:val="24"/>
          <w:szCs w:val="24"/>
        </w:rPr>
        <w:t xml:space="preserve"> Local communities have developed two most common</w:t>
      </w:r>
      <w:r w:rsidR="000273D4">
        <w:rPr>
          <w:rFonts w:ascii="Century Schoolbook" w:hAnsi="Century Schoolbook" w:cs="Arial"/>
          <w:sz w:val="24"/>
          <w:szCs w:val="24"/>
        </w:rPr>
        <w:t>s</w:t>
      </w:r>
      <w:bookmarkStart w:id="0" w:name="_GoBack"/>
      <w:bookmarkEnd w:id="0"/>
      <w:r w:rsidR="00CA1B5C" w:rsidRPr="002E0A6F">
        <w:rPr>
          <w:rFonts w:ascii="Century Schoolbook" w:hAnsi="Century Schoolbook" w:cs="Arial"/>
          <w:sz w:val="24"/>
          <w:szCs w:val="24"/>
        </w:rPr>
        <w:t xml:space="preserve"> alterative livelihood i.e, pig farming (livestock) and weaving. These alternatives livelihood</w:t>
      </w:r>
      <w:r w:rsidR="00F57D61" w:rsidRPr="002E0A6F">
        <w:rPr>
          <w:rFonts w:ascii="Century Schoolbook" w:hAnsi="Century Schoolbook" w:cs="Arial"/>
          <w:sz w:val="24"/>
          <w:szCs w:val="24"/>
        </w:rPr>
        <w:t xml:space="preserve"> </w:t>
      </w:r>
      <w:r w:rsidR="00CA1B5C" w:rsidRPr="002E0A6F">
        <w:rPr>
          <w:rFonts w:ascii="Century Schoolbook" w:hAnsi="Century Schoolbook" w:cs="Arial"/>
          <w:sz w:val="24"/>
          <w:szCs w:val="24"/>
        </w:rPr>
        <w:t xml:space="preserve">are </w:t>
      </w:r>
      <w:r w:rsidR="00F57D61" w:rsidRPr="002E0A6F">
        <w:rPr>
          <w:rFonts w:ascii="Century Schoolbook" w:hAnsi="Century Schoolbook" w:cs="Arial"/>
          <w:sz w:val="24"/>
          <w:szCs w:val="24"/>
        </w:rPr>
        <w:t>based on local resources and involve more people to work, and economically feasible</w:t>
      </w:r>
      <w:r w:rsidR="00AF7F06">
        <w:rPr>
          <w:rFonts w:ascii="Century Schoolbook" w:hAnsi="Century Schoolbook" w:cs="Arial"/>
          <w:sz w:val="24"/>
          <w:szCs w:val="24"/>
        </w:rPr>
        <w:t xml:space="preserve"> (Paulus, 2016)</w:t>
      </w:r>
      <w:r w:rsidR="00992F77">
        <w:rPr>
          <w:rFonts w:ascii="Century Schoolbook" w:hAnsi="Century Schoolbook" w:cs="Arial"/>
          <w:sz w:val="24"/>
          <w:szCs w:val="24"/>
        </w:rPr>
        <w:t>.</w:t>
      </w:r>
      <w:r w:rsidR="00F57D61" w:rsidRPr="002E0A6F">
        <w:rPr>
          <w:rFonts w:ascii="Century Schoolbook" w:hAnsi="Century Schoolbook" w:cs="Arial"/>
          <w:sz w:val="24"/>
          <w:szCs w:val="24"/>
        </w:rPr>
        <w:t xml:space="preserve"> This study aims to assess </w:t>
      </w:r>
      <w:r w:rsidR="00E80F93" w:rsidRPr="002E0A6F">
        <w:rPr>
          <w:rFonts w:ascii="Century Schoolbook" w:hAnsi="Century Schoolbook" w:cs="Arial"/>
          <w:sz w:val="24"/>
          <w:szCs w:val="24"/>
        </w:rPr>
        <w:t xml:space="preserve">the issue of alternative livelihood by identifying key variables affecting its sustainability. </w:t>
      </w:r>
      <w:r w:rsidR="00F57D61" w:rsidRPr="002E0A6F">
        <w:rPr>
          <w:rFonts w:ascii="Century Schoolbook" w:hAnsi="Century Schoolbook" w:cs="Arial"/>
          <w:sz w:val="24"/>
          <w:szCs w:val="24"/>
        </w:rPr>
        <w:t>Such findings will enable local auth</w:t>
      </w:r>
      <w:r w:rsidR="00E80F93" w:rsidRPr="002E0A6F">
        <w:rPr>
          <w:rFonts w:ascii="Century Schoolbook" w:hAnsi="Century Schoolbook" w:cs="Arial"/>
          <w:sz w:val="24"/>
          <w:szCs w:val="24"/>
        </w:rPr>
        <w:t>orities to develop alternative livelihood programs that are more sustainable at community level</w:t>
      </w:r>
      <w:r w:rsidR="00F57D61" w:rsidRPr="002E0A6F">
        <w:rPr>
          <w:rFonts w:ascii="Century Schoolbook" w:hAnsi="Century Schoolbook" w:cs="Arial"/>
          <w:sz w:val="24"/>
          <w:szCs w:val="24"/>
        </w:rPr>
        <w:t xml:space="preserve">. </w:t>
      </w:r>
    </w:p>
    <w:p w:rsidR="00F57D61" w:rsidRPr="002E0A6F" w:rsidRDefault="00F57D61" w:rsidP="00182A59">
      <w:pPr>
        <w:jc w:val="both"/>
        <w:rPr>
          <w:rFonts w:ascii="Century Schoolbook" w:hAnsi="Century Schoolbook" w:cs="Arial"/>
          <w:sz w:val="24"/>
          <w:szCs w:val="24"/>
        </w:rPr>
      </w:pPr>
    </w:p>
    <w:p w:rsidR="00C201C0" w:rsidRPr="002E0A6F" w:rsidRDefault="00C201C0" w:rsidP="00182A59">
      <w:pPr>
        <w:jc w:val="both"/>
        <w:rPr>
          <w:rFonts w:ascii="Century Schoolbook" w:hAnsi="Century Schoolbook" w:cs="Arial"/>
          <w:b/>
          <w:sz w:val="24"/>
          <w:szCs w:val="24"/>
        </w:rPr>
      </w:pPr>
      <w:r w:rsidRPr="002E0A6F">
        <w:rPr>
          <w:rFonts w:ascii="Century Schoolbook" w:hAnsi="Century Schoolbook" w:cs="Arial"/>
          <w:b/>
          <w:sz w:val="24"/>
          <w:szCs w:val="24"/>
        </w:rPr>
        <w:t>Methods</w:t>
      </w:r>
    </w:p>
    <w:p w:rsidR="00C201C0" w:rsidRPr="002E0A6F" w:rsidRDefault="00053992" w:rsidP="00182A59">
      <w:pPr>
        <w:jc w:val="both"/>
        <w:rPr>
          <w:rFonts w:ascii="Century Schoolbook" w:hAnsi="Century Schoolbook" w:cs="Arial"/>
          <w:sz w:val="24"/>
          <w:szCs w:val="24"/>
        </w:rPr>
      </w:pPr>
      <w:r w:rsidRPr="002E0A6F">
        <w:rPr>
          <w:rFonts w:ascii="Century Schoolbook" w:hAnsi="Century Schoolbook" w:cs="Arial"/>
          <w:sz w:val="24"/>
          <w:szCs w:val="24"/>
        </w:rPr>
        <w:t>Sus</w:t>
      </w:r>
      <w:r w:rsidR="00B4389F" w:rsidRPr="002E0A6F">
        <w:rPr>
          <w:rFonts w:ascii="Century Schoolbook" w:hAnsi="Century Schoolbook" w:cs="Arial"/>
          <w:sz w:val="24"/>
          <w:szCs w:val="24"/>
        </w:rPr>
        <w:t>tainability is of the key factors to ensure the long term alternative livelihood be uphold. Nevertheless, sustainability encompasses many dimensions such as economic, social, technological as well as institutional aspects. Identifying variables among those dime</w:t>
      </w:r>
      <w:r w:rsidR="008613CF" w:rsidRPr="002E0A6F">
        <w:rPr>
          <w:rFonts w:ascii="Century Schoolbook" w:hAnsi="Century Schoolbook" w:cs="Arial"/>
          <w:sz w:val="24"/>
          <w:szCs w:val="24"/>
        </w:rPr>
        <w:t xml:space="preserve">nsions is quite challenging. In </w:t>
      </w:r>
      <w:r w:rsidR="00B4389F" w:rsidRPr="002E0A6F">
        <w:rPr>
          <w:rFonts w:ascii="Century Schoolbook" w:hAnsi="Century Schoolbook" w:cs="Arial"/>
          <w:sz w:val="24"/>
          <w:szCs w:val="24"/>
        </w:rPr>
        <w:t>order to identify key sustainability variables, this study used an FGD technique involving 35 respondents selected purposively. The identified variables were then grouped into four categories i.e., economic, socio-cultural, infrastructure and Institution.</w:t>
      </w:r>
      <w:r w:rsidR="00F4371D" w:rsidRPr="002E0A6F">
        <w:rPr>
          <w:rFonts w:ascii="Century Schoolbook" w:hAnsi="Century Schoolbook" w:cs="Arial"/>
          <w:sz w:val="24"/>
          <w:szCs w:val="24"/>
        </w:rPr>
        <w:t xml:space="preserve"> </w:t>
      </w:r>
      <w:r w:rsidR="008613CF" w:rsidRPr="002E0A6F">
        <w:rPr>
          <w:rFonts w:ascii="Century Schoolbook" w:hAnsi="Century Schoolbook" w:cs="Arial"/>
          <w:sz w:val="24"/>
          <w:szCs w:val="24"/>
        </w:rPr>
        <w:t>A MICMAC (Matrix of Crossed Impact Multiplications Applied to a Classification) developed by</w:t>
      </w:r>
      <w:r w:rsidR="00392C08">
        <w:rPr>
          <w:rFonts w:ascii="Century Schoolbook" w:hAnsi="Century Schoolbook" w:cs="Arial"/>
          <w:sz w:val="24"/>
          <w:szCs w:val="24"/>
        </w:rPr>
        <w:t xml:space="preserve"> Godet et al (1999) and</w:t>
      </w:r>
      <w:r w:rsidR="00992F77">
        <w:rPr>
          <w:rFonts w:ascii="Century Schoolbook" w:hAnsi="Century Schoolbook" w:cs="Arial"/>
          <w:sz w:val="24"/>
          <w:szCs w:val="24"/>
        </w:rPr>
        <w:t xml:space="preserve"> </w:t>
      </w:r>
      <w:r w:rsidR="008613CF" w:rsidRPr="002E0A6F">
        <w:rPr>
          <w:rFonts w:ascii="Century Schoolbook" w:hAnsi="Century Schoolbook" w:cs="Arial"/>
          <w:sz w:val="24"/>
          <w:szCs w:val="24"/>
        </w:rPr>
        <w:t>Godet (2006</w:t>
      </w:r>
      <w:r w:rsidR="00F4371D" w:rsidRPr="002E0A6F">
        <w:rPr>
          <w:rFonts w:ascii="Century Schoolbook" w:hAnsi="Century Schoolbook" w:cs="Arial"/>
          <w:sz w:val="24"/>
          <w:szCs w:val="24"/>
        </w:rPr>
        <w:t>) were used to assess variables that influence the sustainability of alternative livelihood.</w:t>
      </w:r>
      <w:r w:rsidR="008613CF" w:rsidRPr="002E0A6F">
        <w:rPr>
          <w:rFonts w:ascii="Century Schoolbook" w:hAnsi="Century Schoolbook" w:cs="Arial"/>
          <w:sz w:val="24"/>
          <w:szCs w:val="24"/>
        </w:rPr>
        <w:t xml:space="preserve"> MICMAC is part of a structural analysis whereby variables are mapped into influence and dependence components of the variables within a system. </w:t>
      </w:r>
      <w:r w:rsidR="00F42659">
        <w:rPr>
          <w:rFonts w:ascii="Century Schoolbook" w:hAnsi="Century Schoolbook" w:cs="Arial"/>
          <w:sz w:val="24"/>
          <w:szCs w:val="24"/>
        </w:rPr>
        <w:t xml:space="preserve">MICMAC has been suggested for sustainable analysis in various cases (Fauzi, 2017., Ahmed et al, 2009., Arozamena et al, 2012). </w:t>
      </w:r>
      <w:r w:rsidR="008613CF" w:rsidRPr="002E0A6F">
        <w:rPr>
          <w:rFonts w:ascii="Century Schoolbook" w:hAnsi="Century Schoolbook" w:cs="Arial"/>
          <w:sz w:val="24"/>
          <w:szCs w:val="24"/>
        </w:rPr>
        <w:t>MICMAC has strength in capturing the interaction among variables and identifying critical variables that can be used as driver for a system to work sustainably (Vetmeyer and Sah</w:t>
      </w:r>
      <w:r w:rsidR="00992F77">
        <w:rPr>
          <w:rFonts w:ascii="Century Schoolbook" w:hAnsi="Century Schoolbook" w:cs="Arial"/>
          <w:sz w:val="24"/>
          <w:szCs w:val="24"/>
        </w:rPr>
        <w:t>in, 2014). In our study, MICMAC</w:t>
      </w:r>
      <w:r w:rsidR="008613CF" w:rsidRPr="002E0A6F">
        <w:rPr>
          <w:rFonts w:ascii="Century Schoolbook" w:hAnsi="Century Schoolbook" w:cs="Arial"/>
          <w:sz w:val="24"/>
          <w:szCs w:val="24"/>
        </w:rPr>
        <w:t xml:space="preserve"> is expected to identify key variables that support sustainable alternative livelihood in the coastal economic system. Hence results from MICMAC analysis could be used to design better and effective policies. </w:t>
      </w:r>
    </w:p>
    <w:p w:rsidR="00F4371D" w:rsidRPr="002E0A6F" w:rsidRDefault="00152135" w:rsidP="00182A59">
      <w:pPr>
        <w:jc w:val="both"/>
        <w:rPr>
          <w:rFonts w:ascii="Century Schoolbook" w:hAnsi="Century Schoolbook" w:cs="Arial"/>
          <w:sz w:val="24"/>
          <w:szCs w:val="24"/>
        </w:rPr>
      </w:pPr>
      <w:r w:rsidRPr="002E0A6F">
        <w:rPr>
          <w:rFonts w:ascii="Century Schoolbook" w:hAnsi="Century Schoolbook" w:cs="Arial"/>
          <w:sz w:val="24"/>
          <w:szCs w:val="24"/>
        </w:rPr>
        <w:t>MICMAC uses three basic steps to</w:t>
      </w:r>
      <w:r w:rsidR="00992F77">
        <w:rPr>
          <w:rFonts w:ascii="Century Schoolbook" w:hAnsi="Century Schoolbook" w:cs="Arial"/>
          <w:sz w:val="24"/>
          <w:szCs w:val="24"/>
        </w:rPr>
        <w:t xml:space="preserve"> be carried out as described in</w:t>
      </w:r>
      <w:r w:rsidRPr="002E0A6F">
        <w:rPr>
          <w:rFonts w:ascii="Century Schoolbook" w:hAnsi="Century Schoolbook" w:cs="Arial"/>
          <w:sz w:val="24"/>
          <w:szCs w:val="24"/>
        </w:rPr>
        <w:t xml:space="preserve"> Godet and Roubelat (1996). These are: (1</w:t>
      </w:r>
      <w:r w:rsidR="00992F77">
        <w:rPr>
          <w:rFonts w:ascii="Century Schoolbook" w:hAnsi="Century Schoolbook" w:cs="Arial"/>
          <w:sz w:val="24"/>
          <w:szCs w:val="24"/>
        </w:rPr>
        <w:t xml:space="preserve">) Identifying the </w:t>
      </w:r>
      <w:r w:rsidRPr="002E0A6F">
        <w:rPr>
          <w:rFonts w:ascii="Century Schoolbook" w:hAnsi="Century Schoolbook" w:cs="Arial"/>
          <w:sz w:val="24"/>
          <w:szCs w:val="24"/>
        </w:rPr>
        <w:t xml:space="preserve">Elements (variables); (2) Describing the relationship between the variables, and (3) Identifying the key variables. Step 1 of MICMAC analysis in this study was carried out by identifying key variables of alternative livelihood from the FGD in the village of Nembrala, while step 2 and step 3 were carries out automatically once the data have been entered into the </w:t>
      </w:r>
      <w:r w:rsidR="00BA5E98" w:rsidRPr="002E0A6F">
        <w:rPr>
          <w:rFonts w:ascii="Century Schoolbook" w:hAnsi="Century Schoolbook" w:cs="Arial"/>
          <w:sz w:val="24"/>
          <w:szCs w:val="24"/>
        </w:rPr>
        <w:t xml:space="preserve">MICMAC </w:t>
      </w:r>
      <w:r w:rsidRPr="002E0A6F">
        <w:rPr>
          <w:rFonts w:ascii="Century Schoolbook" w:hAnsi="Century Schoolbook" w:cs="Arial"/>
          <w:sz w:val="24"/>
          <w:szCs w:val="24"/>
        </w:rPr>
        <w:t>computer program</w:t>
      </w:r>
      <w:r w:rsidR="00BA5E98" w:rsidRPr="002E0A6F">
        <w:rPr>
          <w:rFonts w:ascii="Century Schoolbook" w:hAnsi="Century Schoolbook" w:cs="Arial"/>
          <w:sz w:val="24"/>
          <w:szCs w:val="24"/>
        </w:rPr>
        <w:t xml:space="preserve"> developed by Lipsor</w:t>
      </w:r>
      <w:r w:rsidRPr="002E0A6F">
        <w:rPr>
          <w:rFonts w:ascii="Century Schoolbook" w:hAnsi="Century Schoolbook" w:cs="Arial"/>
          <w:sz w:val="24"/>
          <w:szCs w:val="24"/>
        </w:rPr>
        <w:t xml:space="preserve">. </w:t>
      </w:r>
      <w:r w:rsidR="008613CF" w:rsidRPr="002E0A6F">
        <w:rPr>
          <w:rFonts w:ascii="Century Schoolbook" w:hAnsi="Century Schoolbook" w:cs="Arial"/>
          <w:sz w:val="24"/>
          <w:szCs w:val="24"/>
        </w:rPr>
        <w:t xml:space="preserve"> </w:t>
      </w:r>
    </w:p>
    <w:p w:rsidR="00152135" w:rsidRPr="002E0A6F" w:rsidRDefault="00152135" w:rsidP="00182A59">
      <w:pPr>
        <w:jc w:val="both"/>
        <w:rPr>
          <w:rFonts w:ascii="Century Schoolbook" w:hAnsi="Century Schoolbook" w:cs="Arial"/>
          <w:b/>
          <w:sz w:val="24"/>
          <w:szCs w:val="24"/>
        </w:rPr>
      </w:pPr>
      <w:r w:rsidRPr="002E0A6F">
        <w:rPr>
          <w:rFonts w:ascii="Century Schoolbook" w:hAnsi="Century Schoolbook" w:cs="Arial"/>
          <w:b/>
          <w:sz w:val="24"/>
          <w:szCs w:val="24"/>
        </w:rPr>
        <w:t>Results and Discussions</w:t>
      </w:r>
    </w:p>
    <w:p w:rsidR="00BA5E98" w:rsidRPr="002E0A6F" w:rsidRDefault="00BA5E98" w:rsidP="00182A59">
      <w:pPr>
        <w:jc w:val="both"/>
        <w:rPr>
          <w:rFonts w:ascii="Century Schoolbook" w:hAnsi="Century Schoolbook" w:cs="Arial"/>
          <w:b/>
          <w:sz w:val="24"/>
          <w:szCs w:val="24"/>
        </w:rPr>
      </w:pPr>
      <w:r w:rsidRPr="002E0A6F">
        <w:rPr>
          <w:rFonts w:ascii="Century Schoolbook" w:hAnsi="Century Schoolbook" w:cs="Arial"/>
          <w:b/>
          <w:sz w:val="24"/>
          <w:szCs w:val="24"/>
        </w:rPr>
        <w:t>Identifying elements</w:t>
      </w:r>
    </w:p>
    <w:p w:rsidR="00152135" w:rsidRPr="002E0A6F" w:rsidRDefault="00BA5E98" w:rsidP="00182A59">
      <w:pPr>
        <w:jc w:val="both"/>
        <w:rPr>
          <w:rFonts w:ascii="Century Schoolbook" w:hAnsi="Century Schoolbook" w:cs="Arial"/>
          <w:sz w:val="24"/>
          <w:szCs w:val="24"/>
        </w:rPr>
      </w:pPr>
      <w:r w:rsidRPr="002E0A6F">
        <w:rPr>
          <w:rFonts w:ascii="Century Schoolbook" w:hAnsi="Century Schoolbook" w:cs="Arial"/>
          <w:sz w:val="24"/>
          <w:szCs w:val="24"/>
        </w:rPr>
        <w:t>From an FGD with local communities as well as relevant stakeholders, 21 elements or variables representing economic, social, technology and institutional dimensions were identified resulting in 21 x 21 element of Matrix. These elements or variables are listed below with short label for entry data in MICMAC</w:t>
      </w:r>
    </w:p>
    <w:p w:rsidR="00BA5E98" w:rsidRPr="002E0A6F" w:rsidRDefault="002F3C5D" w:rsidP="00182A59">
      <w:pPr>
        <w:jc w:val="both"/>
        <w:rPr>
          <w:rFonts w:ascii="Century Schoolbook" w:hAnsi="Century Schoolbook" w:cs="Arial"/>
          <w:sz w:val="24"/>
          <w:szCs w:val="24"/>
        </w:rPr>
      </w:pPr>
      <w:r w:rsidRPr="002E0A6F">
        <w:rPr>
          <w:rFonts w:ascii="Century Schoolbook" w:hAnsi="Century Schoolbook" w:cs="Arial"/>
          <w:sz w:val="24"/>
          <w:szCs w:val="24"/>
        </w:rPr>
        <w:t>Table 1. Identified sustainability variables for alternative livelihoods</w:t>
      </w:r>
    </w:p>
    <w:tbl>
      <w:tblPr>
        <w:tblStyle w:val="TableGrid"/>
        <w:tblW w:w="0" w:type="auto"/>
        <w:tblLook w:val="04A0"/>
      </w:tblPr>
      <w:tblGrid>
        <w:gridCol w:w="2245"/>
        <w:gridCol w:w="3988"/>
        <w:gridCol w:w="3117"/>
      </w:tblGrid>
      <w:tr w:rsidR="00BA5E98" w:rsidRPr="002E0A6F" w:rsidTr="00BA5E98">
        <w:tc>
          <w:tcPr>
            <w:tcW w:w="2245" w:type="dxa"/>
          </w:tcPr>
          <w:p w:rsidR="00BA5E98" w:rsidRPr="002E0A6F" w:rsidRDefault="00BA5E98" w:rsidP="00182A59">
            <w:pPr>
              <w:jc w:val="both"/>
              <w:rPr>
                <w:rFonts w:ascii="Century Schoolbook" w:hAnsi="Century Schoolbook" w:cs="Arial"/>
              </w:rPr>
            </w:pPr>
            <w:r w:rsidRPr="002E0A6F">
              <w:rPr>
                <w:rFonts w:ascii="Century Schoolbook" w:hAnsi="Century Schoolbook" w:cs="Arial"/>
              </w:rPr>
              <w:t>Dimensions</w:t>
            </w:r>
          </w:p>
        </w:tc>
        <w:tc>
          <w:tcPr>
            <w:tcW w:w="3988" w:type="dxa"/>
          </w:tcPr>
          <w:p w:rsidR="00BA5E98" w:rsidRPr="002E0A6F" w:rsidRDefault="00BA5E98" w:rsidP="00182A59">
            <w:pPr>
              <w:jc w:val="both"/>
              <w:rPr>
                <w:rFonts w:ascii="Century Schoolbook" w:hAnsi="Century Schoolbook" w:cs="Arial"/>
              </w:rPr>
            </w:pPr>
            <w:r w:rsidRPr="002E0A6F">
              <w:rPr>
                <w:rFonts w:ascii="Century Schoolbook" w:hAnsi="Century Schoolbook" w:cs="Arial"/>
              </w:rPr>
              <w:t>Variables</w:t>
            </w:r>
          </w:p>
        </w:tc>
        <w:tc>
          <w:tcPr>
            <w:tcW w:w="3117" w:type="dxa"/>
          </w:tcPr>
          <w:p w:rsidR="00BA5E98" w:rsidRPr="002E0A6F" w:rsidRDefault="00BA5E98" w:rsidP="00182A59">
            <w:pPr>
              <w:jc w:val="both"/>
              <w:rPr>
                <w:rFonts w:ascii="Century Schoolbook" w:hAnsi="Century Schoolbook" w:cs="Arial"/>
              </w:rPr>
            </w:pPr>
            <w:r w:rsidRPr="002E0A6F">
              <w:rPr>
                <w:rFonts w:ascii="Century Schoolbook" w:hAnsi="Century Schoolbook" w:cs="Arial"/>
              </w:rPr>
              <w:t>Short label</w:t>
            </w:r>
          </w:p>
        </w:tc>
      </w:tr>
      <w:tr w:rsidR="00BA5E98" w:rsidRPr="002E0A6F" w:rsidTr="00BA5E98">
        <w:tc>
          <w:tcPr>
            <w:tcW w:w="2245" w:type="dxa"/>
          </w:tcPr>
          <w:p w:rsidR="00BA5E98" w:rsidRPr="002E0A6F" w:rsidRDefault="00BA5E98" w:rsidP="00182A59">
            <w:pPr>
              <w:jc w:val="both"/>
              <w:rPr>
                <w:rFonts w:ascii="Century Schoolbook" w:hAnsi="Century Schoolbook" w:cs="Arial"/>
              </w:rPr>
            </w:pPr>
            <w:r w:rsidRPr="002E0A6F">
              <w:rPr>
                <w:rFonts w:ascii="Century Schoolbook" w:hAnsi="Century Schoolbook" w:cs="Arial"/>
              </w:rPr>
              <w:t>Economics</w:t>
            </w:r>
          </w:p>
        </w:tc>
        <w:tc>
          <w:tcPr>
            <w:tcW w:w="3988" w:type="dxa"/>
          </w:tcPr>
          <w:p w:rsidR="00BA5E98" w:rsidRPr="002E0A6F" w:rsidRDefault="00BA5E98" w:rsidP="00BA5E98">
            <w:pPr>
              <w:pStyle w:val="ListParagraph"/>
              <w:numPr>
                <w:ilvl w:val="0"/>
                <w:numId w:val="1"/>
              </w:numPr>
              <w:jc w:val="both"/>
              <w:rPr>
                <w:rFonts w:ascii="Century Schoolbook" w:hAnsi="Century Schoolbook" w:cs="Arial"/>
              </w:rPr>
            </w:pPr>
            <w:r w:rsidRPr="002E0A6F">
              <w:rPr>
                <w:rFonts w:ascii="Century Schoolbook" w:hAnsi="Century Schoolbook" w:cs="Arial"/>
              </w:rPr>
              <w:t>Access to market</w:t>
            </w:r>
          </w:p>
          <w:p w:rsidR="00BA5E98" w:rsidRPr="002E0A6F" w:rsidRDefault="00BA5E98" w:rsidP="00BA5E98">
            <w:pPr>
              <w:pStyle w:val="ListParagraph"/>
              <w:numPr>
                <w:ilvl w:val="0"/>
                <w:numId w:val="1"/>
              </w:numPr>
              <w:jc w:val="both"/>
              <w:rPr>
                <w:rFonts w:ascii="Century Schoolbook" w:hAnsi="Century Schoolbook" w:cs="Arial"/>
              </w:rPr>
            </w:pPr>
            <w:r w:rsidRPr="002E0A6F">
              <w:rPr>
                <w:rFonts w:ascii="Century Schoolbook" w:hAnsi="Century Schoolbook" w:cs="Arial"/>
              </w:rPr>
              <w:t>Marketing chain</w:t>
            </w:r>
          </w:p>
          <w:p w:rsidR="00BA5E98" w:rsidRPr="002E0A6F" w:rsidRDefault="00BA5E98" w:rsidP="00BA5E98">
            <w:pPr>
              <w:pStyle w:val="ListParagraph"/>
              <w:numPr>
                <w:ilvl w:val="0"/>
                <w:numId w:val="1"/>
              </w:numPr>
              <w:jc w:val="both"/>
              <w:rPr>
                <w:rFonts w:ascii="Century Schoolbook" w:hAnsi="Century Schoolbook" w:cs="Arial"/>
              </w:rPr>
            </w:pPr>
            <w:r w:rsidRPr="002E0A6F">
              <w:rPr>
                <w:rFonts w:ascii="Century Schoolbook" w:hAnsi="Century Schoolbook" w:cs="Arial"/>
              </w:rPr>
              <w:t>Contribution to local Revenue</w:t>
            </w:r>
          </w:p>
          <w:p w:rsidR="00BA5E98" w:rsidRPr="002E0A6F" w:rsidRDefault="00E777A8" w:rsidP="00BA5E98">
            <w:pPr>
              <w:pStyle w:val="ListParagraph"/>
              <w:numPr>
                <w:ilvl w:val="0"/>
                <w:numId w:val="1"/>
              </w:numPr>
              <w:jc w:val="both"/>
              <w:rPr>
                <w:rFonts w:ascii="Century Schoolbook" w:hAnsi="Century Schoolbook" w:cs="Arial"/>
              </w:rPr>
            </w:pPr>
            <w:r w:rsidRPr="002E0A6F">
              <w:rPr>
                <w:rFonts w:ascii="Century Schoolbook" w:hAnsi="Century Schoolbook" w:cs="Arial"/>
              </w:rPr>
              <w:t>Price of livestock</w:t>
            </w:r>
          </w:p>
          <w:p w:rsidR="00BA5E98" w:rsidRPr="002E0A6F" w:rsidRDefault="00BA5E98" w:rsidP="00BA5E98">
            <w:pPr>
              <w:pStyle w:val="ListParagraph"/>
              <w:numPr>
                <w:ilvl w:val="0"/>
                <w:numId w:val="1"/>
              </w:numPr>
              <w:jc w:val="both"/>
              <w:rPr>
                <w:rFonts w:ascii="Century Schoolbook" w:hAnsi="Century Schoolbook" w:cs="Arial"/>
              </w:rPr>
            </w:pPr>
            <w:r w:rsidRPr="002E0A6F">
              <w:rPr>
                <w:rFonts w:ascii="Century Schoolbook" w:hAnsi="Century Schoolbook" w:cs="Arial"/>
              </w:rPr>
              <w:t>Feasibility</w:t>
            </w:r>
          </w:p>
        </w:tc>
        <w:tc>
          <w:tcPr>
            <w:tcW w:w="3117" w:type="dxa"/>
          </w:tcPr>
          <w:p w:rsidR="00BA5E98" w:rsidRPr="002E0A6F" w:rsidRDefault="00BA5E98" w:rsidP="00BA5E98">
            <w:pPr>
              <w:pStyle w:val="ListParagraph"/>
              <w:numPr>
                <w:ilvl w:val="0"/>
                <w:numId w:val="2"/>
              </w:numPr>
              <w:jc w:val="both"/>
              <w:rPr>
                <w:rFonts w:ascii="Century Schoolbook" w:hAnsi="Century Schoolbook" w:cs="Arial"/>
              </w:rPr>
            </w:pPr>
            <w:r w:rsidRPr="002E0A6F">
              <w:rPr>
                <w:rFonts w:ascii="Century Schoolbook" w:hAnsi="Century Schoolbook" w:cs="Arial"/>
              </w:rPr>
              <w:t>Aksespsr</w:t>
            </w:r>
          </w:p>
          <w:p w:rsidR="00BA5E98" w:rsidRPr="002E0A6F" w:rsidRDefault="00BA5E98" w:rsidP="00BA5E98">
            <w:pPr>
              <w:pStyle w:val="ListParagraph"/>
              <w:numPr>
                <w:ilvl w:val="0"/>
                <w:numId w:val="2"/>
              </w:numPr>
              <w:jc w:val="both"/>
              <w:rPr>
                <w:rFonts w:ascii="Century Schoolbook" w:hAnsi="Century Schoolbook" w:cs="Arial"/>
              </w:rPr>
            </w:pPr>
            <w:r w:rsidRPr="002E0A6F">
              <w:rPr>
                <w:rFonts w:ascii="Century Schoolbook" w:hAnsi="Century Schoolbook" w:cs="Arial"/>
              </w:rPr>
              <w:t>Rantaipmsr</w:t>
            </w:r>
          </w:p>
          <w:p w:rsidR="00BA5E98" w:rsidRPr="002E0A6F" w:rsidRDefault="00BA5E98" w:rsidP="00BA5E98">
            <w:pPr>
              <w:pStyle w:val="ListParagraph"/>
              <w:numPr>
                <w:ilvl w:val="0"/>
                <w:numId w:val="2"/>
              </w:numPr>
              <w:jc w:val="both"/>
              <w:rPr>
                <w:rFonts w:ascii="Century Schoolbook" w:hAnsi="Century Schoolbook" w:cs="Arial"/>
              </w:rPr>
            </w:pPr>
            <w:r w:rsidRPr="002E0A6F">
              <w:rPr>
                <w:rFonts w:ascii="Century Schoolbook" w:hAnsi="Century Schoolbook" w:cs="Arial"/>
              </w:rPr>
              <w:t>Pad</w:t>
            </w:r>
          </w:p>
          <w:p w:rsidR="00BA5E98" w:rsidRPr="002E0A6F" w:rsidRDefault="00BA5E98" w:rsidP="00BA5E98">
            <w:pPr>
              <w:pStyle w:val="ListParagraph"/>
              <w:numPr>
                <w:ilvl w:val="0"/>
                <w:numId w:val="2"/>
              </w:numPr>
              <w:jc w:val="both"/>
              <w:rPr>
                <w:rFonts w:ascii="Century Schoolbook" w:hAnsi="Century Schoolbook" w:cs="Arial"/>
              </w:rPr>
            </w:pPr>
            <w:r w:rsidRPr="002E0A6F">
              <w:rPr>
                <w:rFonts w:ascii="Century Schoolbook" w:hAnsi="Century Schoolbook" w:cs="Arial"/>
              </w:rPr>
              <w:t>Harga</w:t>
            </w:r>
          </w:p>
          <w:p w:rsidR="00BA5E98" w:rsidRPr="002E0A6F" w:rsidRDefault="00CF35BF" w:rsidP="00BA5E98">
            <w:pPr>
              <w:pStyle w:val="ListParagraph"/>
              <w:numPr>
                <w:ilvl w:val="0"/>
                <w:numId w:val="2"/>
              </w:numPr>
              <w:jc w:val="both"/>
              <w:rPr>
                <w:rFonts w:ascii="Century Schoolbook" w:hAnsi="Century Schoolbook" w:cs="Arial"/>
              </w:rPr>
            </w:pPr>
            <w:r w:rsidRPr="002E0A6F">
              <w:rPr>
                <w:rFonts w:ascii="Century Schoolbook" w:hAnsi="Century Schoolbook" w:cs="Arial"/>
              </w:rPr>
              <w:t>L</w:t>
            </w:r>
            <w:r w:rsidR="00BA5E98" w:rsidRPr="002E0A6F">
              <w:rPr>
                <w:rFonts w:ascii="Century Schoolbook" w:hAnsi="Century Schoolbook" w:cs="Arial"/>
              </w:rPr>
              <w:t>ayak</w:t>
            </w:r>
          </w:p>
        </w:tc>
      </w:tr>
      <w:tr w:rsidR="00BA5E98" w:rsidRPr="002E0A6F" w:rsidTr="00BA5E98">
        <w:tc>
          <w:tcPr>
            <w:tcW w:w="2245" w:type="dxa"/>
          </w:tcPr>
          <w:p w:rsidR="00BA5E98" w:rsidRPr="002E0A6F" w:rsidRDefault="00BA5E98" w:rsidP="00182A59">
            <w:pPr>
              <w:jc w:val="both"/>
              <w:rPr>
                <w:rFonts w:ascii="Century Schoolbook" w:hAnsi="Century Schoolbook" w:cs="Arial"/>
              </w:rPr>
            </w:pPr>
            <w:r w:rsidRPr="002E0A6F">
              <w:rPr>
                <w:rFonts w:ascii="Century Schoolbook" w:hAnsi="Century Schoolbook" w:cs="Arial"/>
              </w:rPr>
              <w:t>Socio-cultural</w:t>
            </w:r>
          </w:p>
        </w:tc>
        <w:tc>
          <w:tcPr>
            <w:tcW w:w="3988" w:type="dxa"/>
          </w:tcPr>
          <w:p w:rsidR="00BA5E98" w:rsidRPr="002E0A6F" w:rsidRDefault="00BA5E98" w:rsidP="00BA5E98">
            <w:pPr>
              <w:pStyle w:val="ListParagraph"/>
              <w:numPr>
                <w:ilvl w:val="0"/>
                <w:numId w:val="1"/>
              </w:numPr>
              <w:jc w:val="both"/>
              <w:rPr>
                <w:rFonts w:ascii="Century Schoolbook" w:hAnsi="Century Schoolbook" w:cs="Arial"/>
              </w:rPr>
            </w:pPr>
            <w:r w:rsidRPr="002E0A6F">
              <w:rPr>
                <w:rFonts w:ascii="Century Schoolbook" w:hAnsi="Century Schoolbook" w:cs="Arial"/>
              </w:rPr>
              <w:t xml:space="preserve">Social role of </w:t>
            </w:r>
            <w:r w:rsidR="00E777A8" w:rsidRPr="002E0A6F">
              <w:rPr>
                <w:rFonts w:ascii="Century Schoolbook" w:hAnsi="Century Schoolbook" w:cs="Arial"/>
              </w:rPr>
              <w:t>livestock</w:t>
            </w:r>
          </w:p>
          <w:p w:rsidR="00E777A8" w:rsidRPr="002E0A6F" w:rsidRDefault="00E777A8" w:rsidP="00BA5E98">
            <w:pPr>
              <w:pStyle w:val="ListParagraph"/>
              <w:numPr>
                <w:ilvl w:val="0"/>
                <w:numId w:val="1"/>
              </w:numPr>
              <w:jc w:val="both"/>
              <w:rPr>
                <w:rFonts w:ascii="Century Schoolbook" w:hAnsi="Century Schoolbook" w:cs="Arial"/>
              </w:rPr>
            </w:pPr>
            <w:r w:rsidRPr="002E0A6F">
              <w:rPr>
                <w:rFonts w:ascii="Century Schoolbook" w:hAnsi="Century Schoolbook" w:cs="Arial"/>
              </w:rPr>
              <w:t>Family participation</w:t>
            </w:r>
          </w:p>
          <w:p w:rsidR="00E777A8" w:rsidRPr="002E0A6F" w:rsidRDefault="00E777A8" w:rsidP="00BA5E98">
            <w:pPr>
              <w:pStyle w:val="ListParagraph"/>
              <w:numPr>
                <w:ilvl w:val="0"/>
                <w:numId w:val="1"/>
              </w:numPr>
              <w:jc w:val="both"/>
              <w:rPr>
                <w:rFonts w:ascii="Century Schoolbook" w:hAnsi="Century Schoolbook" w:cs="Arial"/>
              </w:rPr>
            </w:pPr>
            <w:r w:rsidRPr="002E0A6F">
              <w:rPr>
                <w:rFonts w:ascii="Century Schoolbook" w:hAnsi="Century Schoolbook" w:cs="Arial"/>
              </w:rPr>
              <w:t>Empowerment</w:t>
            </w:r>
          </w:p>
          <w:p w:rsidR="00E777A8" w:rsidRPr="002E0A6F" w:rsidRDefault="00E777A8" w:rsidP="00BA5E98">
            <w:pPr>
              <w:pStyle w:val="ListParagraph"/>
              <w:numPr>
                <w:ilvl w:val="0"/>
                <w:numId w:val="1"/>
              </w:numPr>
              <w:jc w:val="both"/>
              <w:rPr>
                <w:rFonts w:ascii="Century Schoolbook" w:hAnsi="Century Schoolbook" w:cs="Arial"/>
              </w:rPr>
            </w:pPr>
            <w:r w:rsidRPr="002E0A6F">
              <w:rPr>
                <w:rFonts w:ascii="Century Schoolbook" w:hAnsi="Century Schoolbook" w:cs="Arial"/>
              </w:rPr>
              <w:t>Number of farmers</w:t>
            </w:r>
          </w:p>
          <w:p w:rsidR="00E777A8" w:rsidRPr="002E0A6F" w:rsidRDefault="00E777A8" w:rsidP="00BA5E98">
            <w:pPr>
              <w:pStyle w:val="ListParagraph"/>
              <w:numPr>
                <w:ilvl w:val="0"/>
                <w:numId w:val="1"/>
              </w:numPr>
              <w:jc w:val="both"/>
              <w:rPr>
                <w:rFonts w:ascii="Century Schoolbook" w:hAnsi="Century Schoolbook" w:cs="Arial"/>
              </w:rPr>
            </w:pPr>
            <w:r w:rsidRPr="002E0A6F">
              <w:rPr>
                <w:rFonts w:ascii="Century Schoolbook" w:hAnsi="Century Schoolbook" w:cs="Arial"/>
              </w:rPr>
              <w:t>Level of education</w:t>
            </w:r>
          </w:p>
        </w:tc>
        <w:tc>
          <w:tcPr>
            <w:tcW w:w="3117" w:type="dxa"/>
          </w:tcPr>
          <w:p w:rsidR="00BA5E98" w:rsidRPr="002E0A6F" w:rsidRDefault="00E777A8" w:rsidP="00E777A8">
            <w:pPr>
              <w:pStyle w:val="ListParagraph"/>
              <w:numPr>
                <w:ilvl w:val="0"/>
                <w:numId w:val="5"/>
              </w:numPr>
              <w:jc w:val="both"/>
              <w:rPr>
                <w:rFonts w:ascii="Century Schoolbook" w:hAnsi="Century Schoolbook" w:cs="Arial"/>
              </w:rPr>
            </w:pPr>
            <w:r w:rsidRPr="002E0A6F">
              <w:rPr>
                <w:rFonts w:ascii="Century Schoolbook" w:hAnsi="Century Schoolbook" w:cs="Arial"/>
              </w:rPr>
              <w:t>Peransos</w:t>
            </w:r>
          </w:p>
          <w:p w:rsidR="00E777A8" w:rsidRPr="002E0A6F" w:rsidRDefault="00E777A8" w:rsidP="00E777A8">
            <w:pPr>
              <w:pStyle w:val="ListParagraph"/>
              <w:numPr>
                <w:ilvl w:val="0"/>
                <w:numId w:val="5"/>
              </w:numPr>
              <w:jc w:val="both"/>
              <w:rPr>
                <w:rFonts w:ascii="Century Schoolbook" w:hAnsi="Century Schoolbook" w:cs="Arial"/>
              </w:rPr>
            </w:pPr>
            <w:r w:rsidRPr="002E0A6F">
              <w:rPr>
                <w:rFonts w:ascii="Century Schoolbook" w:hAnsi="Century Schoolbook" w:cs="Arial"/>
              </w:rPr>
              <w:t>Partisipas</w:t>
            </w:r>
          </w:p>
          <w:p w:rsidR="00E777A8" w:rsidRPr="002E0A6F" w:rsidRDefault="00E777A8" w:rsidP="00E777A8">
            <w:pPr>
              <w:pStyle w:val="ListParagraph"/>
              <w:numPr>
                <w:ilvl w:val="0"/>
                <w:numId w:val="5"/>
              </w:numPr>
              <w:jc w:val="both"/>
              <w:rPr>
                <w:rFonts w:ascii="Century Schoolbook" w:hAnsi="Century Schoolbook" w:cs="Arial"/>
              </w:rPr>
            </w:pPr>
            <w:r w:rsidRPr="002E0A6F">
              <w:rPr>
                <w:rFonts w:ascii="Century Schoolbook" w:hAnsi="Century Schoolbook" w:cs="Arial"/>
              </w:rPr>
              <w:t>Pemberdaya</w:t>
            </w:r>
          </w:p>
          <w:p w:rsidR="00E777A8" w:rsidRPr="002E0A6F" w:rsidRDefault="00E777A8" w:rsidP="00E777A8">
            <w:pPr>
              <w:pStyle w:val="ListParagraph"/>
              <w:numPr>
                <w:ilvl w:val="0"/>
                <w:numId w:val="5"/>
              </w:numPr>
              <w:jc w:val="both"/>
              <w:rPr>
                <w:rFonts w:ascii="Century Schoolbook" w:hAnsi="Century Schoolbook" w:cs="Arial"/>
              </w:rPr>
            </w:pPr>
            <w:r w:rsidRPr="002E0A6F">
              <w:rPr>
                <w:rFonts w:ascii="Century Schoolbook" w:hAnsi="Century Schoolbook" w:cs="Arial"/>
              </w:rPr>
              <w:t>Jmlhptrnk</w:t>
            </w:r>
          </w:p>
          <w:p w:rsidR="00E777A8" w:rsidRPr="002E0A6F" w:rsidRDefault="00CF35BF" w:rsidP="00E777A8">
            <w:pPr>
              <w:pStyle w:val="ListParagraph"/>
              <w:numPr>
                <w:ilvl w:val="0"/>
                <w:numId w:val="5"/>
              </w:numPr>
              <w:jc w:val="both"/>
              <w:rPr>
                <w:rFonts w:ascii="Century Schoolbook" w:hAnsi="Century Schoolbook" w:cs="Arial"/>
              </w:rPr>
            </w:pPr>
            <w:r w:rsidRPr="002E0A6F">
              <w:rPr>
                <w:rFonts w:ascii="Century Schoolbook" w:hAnsi="Century Schoolbook" w:cs="Arial"/>
              </w:rPr>
              <w:t>P</w:t>
            </w:r>
            <w:r w:rsidR="00E777A8" w:rsidRPr="002E0A6F">
              <w:rPr>
                <w:rFonts w:ascii="Century Schoolbook" w:hAnsi="Century Schoolbook" w:cs="Arial"/>
              </w:rPr>
              <w:t>ddkn</w:t>
            </w:r>
          </w:p>
        </w:tc>
      </w:tr>
      <w:tr w:rsidR="00BA5E98" w:rsidRPr="002E0A6F" w:rsidTr="00BA5E98">
        <w:tc>
          <w:tcPr>
            <w:tcW w:w="2245" w:type="dxa"/>
          </w:tcPr>
          <w:p w:rsidR="00BA5E98" w:rsidRPr="002E0A6F" w:rsidRDefault="00E777A8" w:rsidP="00182A59">
            <w:pPr>
              <w:jc w:val="both"/>
              <w:rPr>
                <w:rFonts w:ascii="Century Schoolbook" w:hAnsi="Century Schoolbook" w:cs="Arial"/>
              </w:rPr>
            </w:pPr>
            <w:r w:rsidRPr="002E0A6F">
              <w:rPr>
                <w:rFonts w:ascii="Century Schoolbook" w:hAnsi="Century Schoolbook" w:cs="Arial"/>
              </w:rPr>
              <w:t>Environment</w:t>
            </w:r>
          </w:p>
        </w:tc>
        <w:tc>
          <w:tcPr>
            <w:tcW w:w="3988" w:type="dxa"/>
          </w:tcPr>
          <w:p w:rsidR="00BA5E98" w:rsidRPr="002E0A6F" w:rsidRDefault="00E777A8" w:rsidP="00E777A8">
            <w:pPr>
              <w:pStyle w:val="ListParagraph"/>
              <w:numPr>
                <w:ilvl w:val="0"/>
                <w:numId w:val="1"/>
              </w:numPr>
              <w:jc w:val="both"/>
              <w:rPr>
                <w:rFonts w:ascii="Century Schoolbook" w:hAnsi="Century Schoolbook" w:cs="Arial"/>
              </w:rPr>
            </w:pPr>
            <w:r w:rsidRPr="002E0A6F">
              <w:rPr>
                <w:rFonts w:ascii="Century Schoolbook" w:hAnsi="Century Schoolbook" w:cs="Arial"/>
              </w:rPr>
              <w:t>System of maintenance</w:t>
            </w:r>
          </w:p>
          <w:p w:rsidR="00E777A8" w:rsidRPr="002E0A6F" w:rsidRDefault="00E777A8" w:rsidP="00E777A8">
            <w:pPr>
              <w:pStyle w:val="ListParagraph"/>
              <w:numPr>
                <w:ilvl w:val="0"/>
                <w:numId w:val="1"/>
              </w:numPr>
              <w:jc w:val="both"/>
              <w:rPr>
                <w:rFonts w:ascii="Century Schoolbook" w:hAnsi="Century Schoolbook" w:cs="Arial"/>
              </w:rPr>
            </w:pPr>
            <w:r w:rsidRPr="002E0A6F">
              <w:rPr>
                <w:rFonts w:ascii="Century Schoolbook" w:hAnsi="Century Schoolbook" w:cs="Arial"/>
              </w:rPr>
              <w:t>Waste</w:t>
            </w:r>
          </w:p>
          <w:p w:rsidR="00E777A8" w:rsidRPr="002E0A6F" w:rsidRDefault="00E777A8" w:rsidP="00E777A8">
            <w:pPr>
              <w:pStyle w:val="ListParagraph"/>
              <w:numPr>
                <w:ilvl w:val="0"/>
                <w:numId w:val="1"/>
              </w:numPr>
              <w:jc w:val="both"/>
              <w:rPr>
                <w:rFonts w:ascii="Century Schoolbook" w:hAnsi="Century Schoolbook" w:cs="Arial"/>
              </w:rPr>
            </w:pPr>
            <w:r w:rsidRPr="002E0A6F">
              <w:rPr>
                <w:rFonts w:ascii="Century Schoolbook" w:hAnsi="Century Schoolbook" w:cs="Arial"/>
              </w:rPr>
              <w:t>Types of livestock</w:t>
            </w:r>
          </w:p>
          <w:p w:rsidR="00E777A8" w:rsidRPr="002E0A6F" w:rsidRDefault="00E777A8" w:rsidP="00E777A8">
            <w:pPr>
              <w:pStyle w:val="ListParagraph"/>
              <w:numPr>
                <w:ilvl w:val="0"/>
                <w:numId w:val="1"/>
              </w:numPr>
              <w:jc w:val="both"/>
              <w:rPr>
                <w:rFonts w:ascii="Century Schoolbook" w:hAnsi="Century Schoolbook" w:cs="Arial"/>
              </w:rPr>
            </w:pPr>
            <w:r w:rsidRPr="002E0A6F">
              <w:rPr>
                <w:rFonts w:ascii="Century Schoolbook" w:hAnsi="Century Schoolbook" w:cs="Arial"/>
              </w:rPr>
              <w:t>Feeds availability</w:t>
            </w:r>
          </w:p>
          <w:p w:rsidR="00E777A8" w:rsidRPr="002E0A6F" w:rsidRDefault="00E777A8" w:rsidP="00E777A8">
            <w:pPr>
              <w:pStyle w:val="ListParagraph"/>
              <w:numPr>
                <w:ilvl w:val="0"/>
                <w:numId w:val="1"/>
              </w:numPr>
              <w:jc w:val="both"/>
              <w:rPr>
                <w:rFonts w:ascii="Century Schoolbook" w:hAnsi="Century Schoolbook" w:cs="Arial"/>
              </w:rPr>
            </w:pPr>
            <w:r w:rsidRPr="002E0A6F">
              <w:rPr>
                <w:rFonts w:ascii="Century Schoolbook" w:hAnsi="Century Schoolbook" w:cs="Arial"/>
              </w:rPr>
              <w:t>Land availability</w:t>
            </w:r>
          </w:p>
        </w:tc>
        <w:tc>
          <w:tcPr>
            <w:tcW w:w="3117" w:type="dxa"/>
          </w:tcPr>
          <w:p w:rsidR="00BA5E98" w:rsidRPr="002E0A6F" w:rsidRDefault="00CF35BF" w:rsidP="00E777A8">
            <w:pPr>
              <w:pStyle w:val="ListParagraph"/>
              <w:numPr>
                <w:ilvl w:val="0"/>
                <w:numId w:val="7"/>
              </w:numPr>
              <w:jc w:val="both"/>
              <w:rPr>
                <w:rFonts w:ascii="Century Schoolbook" w:hAnsi="Century Schoolbook" w:cs="Arial"/>
              </w:rPr>
            </w:pPr>
            <w:r w:rsidRPr="002E0A6F">
              <w:rPr>
                <w:rFonts w:ascii="Century Schoolbook" w:hAnsi="Century Schoolbook" w:cs="Arial"/>
              </w:rPr>
              <w:t>P</w:t>
            </w:r>
            <w:r w:rsidR="00E777A8" w:rsidRPr="002E0A6F">
              <w:rPr>
                <w:rFonts w:ascii="Century Schoolbook" w:hAnsi="Century Schoolbook" w:cs="Arial"/>
              </w:rPr>
              <w:t>emelihara</w:t>
            </w:r>
          </w:p>
          <w:p w:rsidR="00E777A8" w:rsidRPr="002E0A6F" w:rsidRDefault="00E777A8" w:rsidP="00E777A8">
            <w:pPr>
              <w:pStyle w:val="ListParagraph"/>
              <w:numPr>
                <w:ilvl w:val="0"/>
                <w:numId w:val="7"/>
              </w:numPr>
              <w:jc w:val="both"/>
              <w:rPr>
                <w:rFonts w:ascii="Century Schoolbook" w:hAnsi="Century Schoolbook" w:cs="Arial"/>
              </w:rPr>
            </w:pPr>
            <w:r w:rsidRPr="002E0A6F">
              <w:rPr>
                <w:rFonts w:ascii="Century Schoolbook" w:hAnsi="Century Schoolbook" w:cs="Arial"/>
              </w:rPr>
              <w:t>limbah</w:t>
            </w:r>
          </w:p>
          <w:p w:rsidR="00E777A8" w:rsidRPr="002E0A6F" w:rsidRDefault="00E777A8" w:rsidP="00E777A8">
            <w:pPr>
              <w:pStyle w:val="ListParagraph"/>
              <w:numPr>
                <w:ilvl w:val="0"/>
                <w:numId w:val="7"/>
              </w:numPr>
              <w:jc w:val="both"/>
              <w:rPr>
                <w:rFonts w:ascii="Century Schoolbook" w:hAnsi="Century Schoolbook" w:cs="Arial"/>
              </w:rPr>
            </w:pPr>
            <w:r w:rsidRPr="002E0A6F">
              <w:rPr>
                <w:rFonts w:ascii="Century Schoolbook" w:hAnsi="Century Schoolbook" w:cs="Arial"/>
              </w:rPr>
              <w:t>jenistrnk</w:t>
            </w:r>
          </w:p>
          <w:p w:rsidR="00E777A8" w:rsidRPr="002E0A6F" w:rsidRDefault="00E777A8" w:rsidP="00E777A8">
            <w:pPr>
              <w:pStyle w:val="ListParagraph"/>
              <w:numPr>
                <w:ilvl w:val="0"/>
                <w:numId w:val="7"/>
              </w:numPr>
              <w:jc w:val="both"/>
              <w:rPr>
                <w:rFonts w:ascii="Century Schoolbook" w:hAnsi="Century Schoolbook" w:cs="Arial"/>
              </w:rPr>
            </w:pPr>
            <w:r w:rsidRPr="002E0A6F">
              <w:rPr>
                <w:rFonts w:ascii="Century Schoolbook" w:hAnsi="Century Schoolbook" w:cs="Arial"/>
              </w:rPr>
              <w:t>pakan</w:t>
            </w:r>
          </w:p>
          <w:p w:rsidR="00E777A8" w:rsidRPr="002E0A6F" w:rsidRDefault="00E777A8" w:rsidP="00E777A8">
            <w:pPr>
              <w:pStyle w:val="ListParagraph"/>
              <w:numPr>
                <w:ilvl w:val="0"/>
                <w:numId w:val="7"/>
              </w:numPr>
              <w:jc w:val="both"/>
              <w:rPr>
                <w:rFonts w:ascii="Century Schoolbook" w:hAnsi="Century Schoolbook" w:cs="Arial"/>
              </w:rPr>
            </w:pPr>
            <w:r w:rsidRPr="002E0A6F">
              <w:rPr>
                <w:rFonts w:ascii="Century Schoolbook" w:hAnsi="Century Schoolbook" w:cs="Arial"/>
              </w:rPr>
              <w:t>lahan</w:t>
            </w:r>
          </w:p>
        </w:tc>
      </w:tr>
      <w:tr w:rsidR="00E777A8" w:rsidRPr="002E0A6F" w:rsidTr="00BA5E98">
        <w:tc>
          <w:tcPr>
            <w:tcW w:w="2245" w:type="dxa"/>
          </w:tcPr>
          <w:p w:rsidR="00E777A8" w:rsidRPr="002E0A6F" w:rsidRDefault="00E777A8" w:rsidP="00182A59">
            <w:pPr>
              <w:jc w:val="both"/>
              <w:rPr>
                <w:rFonts w:ascii="Century Schoolbook" w:hAnsi="Century Schoolbook" w:cs="Arial"/>
              </w:rPr>
            </w:pPr>
            <w:r w:rsidRPr="002E0A6F">
              <w:rPr>
                <w:rFonts w:ascii="Century Schoolbook" w:hAnsi="Century Schoolbook" w:cs="Arial"/>
              </w:rPr>
              <w:t>Technology</w:t>
            </w:r>
          </w:p>
        </w:tc>
        <w:tc>
          <w:tcPr>
            <w:tcW w:w="3988" w:type="dxa"/>
          </w:tcPr>
          <w:p w:rsidR="00E777A8" w:rsidRPr="002E0A6F" w:rsidRDefault="00E777A8" w:rsidP="00E777A8">
            <w:pPr>
              <w:pStyle w:val="ListParagraph"/>
              <w:numPr>
                <w:ilvl w:val="0"/>
                <w:numId w:val="1"/>
              </w:numPr>
              <w:jc w:val="both"/>
              <w:rPr>
                <w:rFonts w:ascii="Century Schoolbook" w:hAnsi="Century Schoolbook" w:cs="Arial"/>
              </w:rPr>
            </w:pPr>
            <w:r w:rsidRPr="002E0A6F">
              <w:rPr>
                <w:rFonts w:ascii="Century Schoolbook" w:hAnsi="Century Schoolbook" w:cs="Arial"/>
              </w:rPr>
              <w:t>Post-harvest indutsries</w:t>
            </w:r>
          </w:p>
          <w:p w:rsidR="00E777A8" w:rsidRPr="002E0A6F" w:rsidRDefault="00E777A8" w:rsidP="00E777A8">
            <w:pPr>
              <w:pStyle w:val="ListParagraph"/>
              <w:numPr>
                <w:ilvl w:val="0"/>
                <w:numId w:val="1"/>
              </w:numPr>
              <w:jc w:val="both"/>
              <w:rPr>
                <w:rFonts w:ascii="Century Schoolbook" w:hAnsi="Century Schoolbook" w:cs="Arial"/>
              </w:rPr>
            </w:pPr>
            <w:r w:rsidRPr="002E0A6F">
              <w:rPr>
                <w:rFonts w:ascii="Century Schoolbook" w:hAnsi="Century Schoolbook" w:cs="Arial"/>
              </w:rPr>
              <w:t>Farming technology</w:t>
            </w:r>
          </w:p>
          <w:p w:rsidR="00E777A8" w:rsidRPr="002E0A6F" w:rsidRDefault="00E777A8" w:rsidP="00E777A8">
            <w:pPr>
              <w:pStyle w:val="ListParagraph"/>
              <w:numPr>
                <w:ilvl w:val="0"/>
                <w:numId w:val="1"/>
              </w:numPr>
              <w:jc w:val="both"/>
              <w:rPr>
                <w:rFonts w:ascii="Century Schoolbook" w:hAnsi="Century Schoolbook" w:cs="Arial"/>
              </w:rPr>
            </w:pPr>
            <w:r w:rsidRPr="002E0A6F">
              <w:rPr>
                <w:rFonts w:ascii="Century Schoolbook" w:hAnsi="Century Schoolbook" w:cs="Arial"/>
              </w:rPr>
              <w:t>Livestock infrastructure</w:t>
            </w:r>
          </w:p>
        </w:tc>
        <w:tc>
          <w:tcPr>
            <w:tcW w:w="3117" w:type="dxa"/>
          </w:tcPr>
          <w:p w:rsidR="00E777A8" w:rsidRPr="002E0A6F" w:rsidRDefault="00E777A8" w:rsidP="00E777A8">
            <w:pPr>
              <w:pStyle w:val="ListParagraph"/>
              <w:numPr>
                <w:ilvl w:val="0"/>
                <w:numId w:val="7"/>
              </w:numPr>
              <w:jc w:val="both"/>
              <w:rPr>
                <w:rFonts w:ascii="Century Schoolbook" w:hAnsi="Century Schoolbook" w:cs="Arial"/>
              </w:rPr>
            </w:pPr>
            <w:r w:rsidRPr="002E0A6F">
              <w:rPr>
                <w:rFonts w:ascii="Century Schoolbook" w:hAnsi="Century Schoolbook" w:cs="Arial"/>
              </w:rPr>
              <w:t>Indolah</w:t>
            </w:r>
          </w:p>
          <w:p w:rsidR="00E777A8" w:rsidRPr="002E0A6F" w:rsidRDefault="00E777A8" w:rsidP="00E777A8">
            <w:pPr>
              <w:pStyle w:val="ListParagraph"/>
              <w:numPr>
                <w:ilvl w:val="0"/>
                <w:numId w:val="7"/>
              </w:numPr>
              <w:jc w:val="both"/>
              <w:rPr>
                <w:rFonts w:ascii="Century Schoolbook" w:hAnsi="Century Schoolbook" w:cs="Arial"/>
              </w:rPr>
            </w:pPr>
            <w:r w:rsidRPr="002E0A6F">
              <w:rPr>
                <w:rFonts w:ascii="Century Schoolbook" w:hAnsi="Century Schoolbook" w:cs="Arial"/>
              </w:rPr>
              <w:t>Teknobudi</w:t>
            </w:r>
          </w:p>
          <w:p w:rsidR="00E777A8" w:rsidRPr="002E0A6F" w:rsidRDefault="00CF35BF" w:rsidP="00E777A8">
            <w:pPr>
              <w:pStyle w:val="ListParagraph"/>
              <w:numPr>
                <w:ilvl w:val="0"/>
                <w:numId w:val="7"/>
              </w:numPr>
              <w:jc w:val="both"/>
              <w:rPr>
                <w:rFonts w:ascii="Century Schoolbook" w:hAnsi="Century Schoolbook" w:cs="Arial"/>
              </w:rPr>
            </w:pPr>
            <w:r w:rsidRPr="002E0A6F">
              <w:rPr>
                <w:rFonts w:ascii="Century Schoolbook" w:hAnsi="Century Schoolbook" w:cs="Arial"/>
              </w:rPr>
              <w:t>I</w:t>
            </w:r>
            <w:r w:rsidR="00E777A8" w:rsidRPr="002E0A6F">
              <w:rPr>
                <w:rFonts w:ascii="Century Schoolbook" w:hAnsi="Century Schoolbook" w:cs="Arial"/>
              </w:rPr>
              <w:t>nfrstrk</w:t>
            </w:r>
          </w:p>
        </w:tc>
      </w:tr>
      <w:tr w:rsidR="00E777A8" w:rsidRPr="002E0A6F" w:rsidTr="00BA5E98">
        <w:tc>
          <w:tcPr>
            <w:tcW w:w="2245" w:type="dxa"/>
          </w:tcPr>
          <w:p w:rsidR="00E777A8" w:rsidRPr="002E0A6F" w:rsidRDefault="00E777A8" w:rsidP="00182A59">
            <w:pPr>
              <w:jc w:val="both"/>
              <w:rPr>
                <w:rFonts w:ascii="Century Schoolbook" w:hAnsi="Century Schoolbook" w:cs="Arial"/>
              </w:rPr>
            </w:pPr>
            <w:r w:rsidRPr="002E0A6F">
              <w:rPr>
                <w:rFonts w:ascii="Century Schoolbook" w:hAnsi="Century Schoolbook" w:cs="Arial"/>
              </w:rPr>
              <w:t>Institution</w:t>
            </w:r>
          </w:p>
        </w:tc>
        <w:tc>
          <w:tcPr>
            <w:tcW w:w="3988" w:type="dxa"/>
          </w:tcPr>
          <w:p w:rsidR="00E777A8" w:rsidRPr="002E0A6F" w:rsidRDefault="00E777A8" w:rsidP="00E777A8">
            <w:pPr>
              <w:pStyle w:val="ListParagraph"/>
              <w:numPr>
                <w:ilvl w:val="0"/>
                <w:numId w:val="1"/>
              </w:numPr>
              <w:jc w:val="both"/>
              <w:rPr>
                <w:rFonts w:ascii="Century Schoolbook" w:hAnsi="Century Schoolbook" w:cs="Arial"/>
              </w:rPr>
            </w:pPr>
            <w:r w:rsidRPr="002E0A6F">
              <w:rPr>
                <w:rFonts w:ascii="Century Schoolbook" w:hAnsi="Century Schoolbook" w:cs="Arial"/>
              </w:rPr>
              <w:t>Number of farmer’s group</w:t>
            </w:r>
          </w:p>
          <w:p w:rsidR="00E777A8" w:rsidRPr="002E0A6F" w:rsidRDefault="00E777A8" w:rsidP="00E777A8">
            <w:pPr>
              <w:pStyle w:val="ListParagraph"/>
              <w:numPr>
                <w:ilvl w:val="0"/>
                <w:numId w:val="1"/>
              </w:numPr>
              <w:jc w:val="both"/>
              <w:rPr>
                <w:rFonts w:ascii="Century Schoolbook" w:hAnsi="Century Schoolbook" w:cs="Arial"/>
              </w:rPr>
            </w:pPr>
            <w:r w:rsidRPr="002E0A6F">
              <w:rPr>
                <w:rFonts w:ascii="Century Schoolbook" w:hAnsi="Century Schoolbook" w:cs="Arial"/>
              </w:rPr>
              <w:t>Extensions services</w:t>
            </w:r>
          </w:p>
          <w:p w:rsidR="00E777A8" w:rsidRPr="002E0A6F" w:rsidRDefault="001C5B1F" w:rsidP="00E777A8">
            <w:pPr>
              <w:pStyle w:val="ListParagraph"/>
              <w:numPr>
                <w:ilvl w:val="0"/>
                <w:numId w:val="1"/>
              </w:numPr>
              <w:jc w:val="both"/>
              <w:rPr>
                <w:rFonts w:ascii="Century Schoolbook" w:hAnsi="Century Schoolbook" w:cs="Arial"/>
              </w:rPr>
            </w:pPr>
            <w:r w:rsidRPr="002E0A6F">
              <w:rPr>
                <w:rFonts w:ascii="Century Schoolbook" w:hAnsi="Century Schoolbook" w:cs="Arial"/>
              </w:rPr>
              <w:t>Cooperative institution</w:t>
            </w:r>
          </w:p>
        </w:tc>
        <w:tc>
          <w:tcPr>
            <w:tcW w:w="3117" w:type="dxa"/>
          </w:tcPr>
          <w:p w:rsidR="00E777A8" w:rsidRPr="002E0A6F" w:rsidRDefault="00E777A8" w:rsidP="00E777A8">
            <w:pPr>
              <w:pStyle w:val="ListParagraph"/>
              <w:numPr>
                <w:ilvl w:val="0"/>
                <w:numId w:val="7"/>
              </w:numPr>
              <w:jc w:val="both"/>
              <w:rPr>
                <w:rFonts w:ascii="Century Schoolbook" w:hAnsi="Century Schoolbook" w:cs="Arial"/>
              </w:rPr>
            </w:pPr>
            <w:r w:rsidRPr="002E0A6F">
              <w:rPr>
                <w:rFonts w:ascii="Century Schoolbook" w:hAnsi="Century Schoolbook" w:cs="Arial"/>
              </w:rPr>
              <w:t>Poknak</w:t>
            </w:r>
          </w:p>
          <w:p w:rsidR="00E777A8" w:rsidRPr="002E0A6F" w:rsidRDefault="001C5B1F" w:rsidP="00E777A8">
            <w:pPr>
              <w:pStyle w:val="ListParagraph"/>
              <w:numPr>
                <w:ilvl w:val="0"/>
                <w:numId w:val="7"/>
              </w:numPr>
              <w:jc w:val="both"/>
              <w:rPr>
                <w:rFonts w:ascii="Century Schoolbook" w:hAnsi="Century Schoolbook" w:cs="Arial"/>
              </w:rPr>
            </w:pPr>
            <w:r w:rsidRPr="002E0A6F">
              <w:rPr>
                <w:rFonts w:ascii="Century Schoolbook" w:hAnsi="Century Schoolbook" w:cs="Arial"/>
              </w:rPr>
              <w:t>P</w:t>
            </w:r>
            <w:r w:rsidR="00E777A8" w:rsidRPr="002E0A6F">
              <w:rPr>
                <w:rFonts w:ascii="Century Schoolbook" w:hAnsi="Century Schoolbook" w:cs="Arial"/>
              </w:rPr>
              <w:t>nlyhtnk</w:t>
            </w:r>
          </w:p>
          <w:p w:rsidR="001C5B1F" w:rsidRPr="002E0A6F" w:rsidRDefault="001C5B1F" w:rsidP="00E777A8">
            <w:pPr>
              <w:pStyle w:val="ListParagraph"/>
              <w:numPr>
                <w:ilvl w:val="0"/>
                <w:numId w:val="7"/>
              </w:numPr>
              <w:jc w:val="both"/>
              <w:rPr>
                <w:rFonts w:ascii="Century Schoolbook" w:hAnsi="Century Schoolbook" w:cs="Arial"/>
              </w:rPr>
            </w:pPr>
            <w:r w:rsidRPr="002E0A6F">
              <w:rPr>
                <w:rFonts w:ascii="Century Schoolbook" w:hAnsi="Century Schoolbook" w:cs="Arial"/>
              </w:rPr>
              <w:t>Kopnak</w:t>
            </w:r>
          </w:p>
        </w:tc>
      </w:tr>
    </w:tbl>
    <w:p w:rsidR="00BA5E98" w:rsidRPr="002E0A6F" w:rsidRDefault="00BA5E98" w:rsidP="00182A59">
      <w:pPr>
        <w:jc w:val="both"/>
        <w:rPr>
          <w:rFonts w:ascii="Century Schoolbook" w:hAnsi="Century Schoolbook" w:cs="Arial"/>
          <w:sz w:val="24"/>
          <w:szCs w:val="24"/>
        </w:rPr>
      </w:pPr>
    </w:p>
    <w:p w:rsidR="001C5B1F" w:rsidRPr="002E0A6F" w:rsidRDefault="001C5B1F" w:rsidP="00182A59">
      <w:pPr>
        <w:jc w:val="both"/>
        <w:rPr>
          <w:rFonts w:ascii="Century Schoolbook" w:hAnsi="Century Schoolbook" w:cs="Arial"/>
          <w:sz w:val="24"/>
          <w:szCs w:val="24"/>
        </w:rPr>
      </w:pPr>
      <w:r w:rsidRPr="002E0A6F">
        <w:rPr>
          <w:rFonts w:ascii="Century Schoolbook" w:hAnsi="Century Schoolbook" w:cs="Arial"/>
          <w:sz w:val="24"/>
          <w:szCs w:val="24"/>
        </w:rPr>
        <w:t>Each of these 21 elements were then evaluated in order to have 21 X 21 cross-</w:t>
      </w:r>
      <w:r w:rsidR="00992F77">
        <w:rPr>
          <w:rFonts w:ascii="Century Schoolbook" w:hAnsi="Century Schoolbook" w:cs="Arial"/>
          <w:sz w:val="24"/>
          <w:szCs w:val="24"/>
        </w:rPr>
        <w:t>impact matrix called MDI (Matrix</w:t>
      </w:r>
      <w:r w:rsidRPr="002E0A6F">
        <w:rPr>
          <w:rFonts w:ascii="Century Schoolbook" w:hAnsi="Century Schoolbook" w:cs="Arial"/>
          <w:sz w:val="24"/>
          <w:szCs w:val="24"/>
        </w:rPr>
        <w:t xml:space="preserve"> of Direct Influence). This MDI matrix is listed in the following figure 1</w:t>
      </w:r>
    </w:p>
    <w:p w:rsidR="001C5B1F" w:rsidRPr="002E0A6F" w:rsidRDefault="001C5B1F" w:rsidP="001C5B1F">
      <w:pPr>
        <w:jc w:val="center"/>
        <w:rPr>
          <w:rFonts w:ascii="Century Schoolbook" w:hAnsi="Century Schoolbook" w:cs="Arial"/>
          <w:sz w:val="24"/>
          <w:szCs w:val="24"/>
        </w:rPr>
      </w:pPr>
      <w:r w:rsidRPr="002E0A6F">
        <w:rPr>
          <w:rFonts w:ascii="Century Schoolbook" w:hAnsi="Century Schoolbook"/>
          <w:noProof/>
          <w:sz w:val="24"/>
          <w:szCs w:val="24"/>
        </w:rPr>
        <w:drawing>
          <wp:inline distT="0" distB="0" distL="0" distR="0">
            <wp:extent cx="4108450" cy="2800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8450" cy="2800350"/>
                    </a:xfrm>
                    <a:prstGeom prst="rect">
                      <a:avLst/>
                    </a:prstGeom>
                    <a:noFill/>
                    <a:ln>
                      <a:noFill/>
                    </a:ln>
                  </pic:spPr>
                </pic:pic>
              </a:graphicData>
            </a:graphic>
          </wp:inline>
        </w:drawing>
      </w:r>
    </w:p>
    <w:p w:rsidR="001C5B1F" w:rsidRPr="002E0A6F" w:rsidRDefault="001C5B1F" w:rsidP="001C5B1F">
      <w:pPr>
        <w:jc w:val="center"/>
        <w:rPr>
          <w:rFonts w:ascii="Century Schoolbook" w:hAnsi="Century Schoolbook" w:cs="Arial"/>
          <w:sz w:val="24"/>
          <w:szCs w:val="24"/>
        </w:rPr>
      </w:pPr>
      <w:r w:rsidRPr="002E0A6F">
        <w:rPr>
          <w:rFonts w:ascii="Century Schoolbook" w:hAnsi="Century Schoolbook" w:cs="Arial"/>
          <w:sz w:val="24"/>
          <w:szCs w:val="24"/>
        </w:rPr>
        <w:t>Figure 1. Matrix of Direct Influence (MDI)</w:t>
      </w:r>
    </w:p>
    <w:p w:rsidR="001C5B1F" w:rsidRPr="002E0A6F" w:rsidRDefault="001C5B1F" w:rsidP="00182A59">
      <w:pPr>
        <w:jc w:val="both"/>
        <w:rPr>
          <w:rFonts w:ascii="Century Schoolbook" w:hAnsi="Century Schoolbook" w:cs="Arial"/>
          <w:sz w:val="24"/>
          <w:szCs w:val="24"/>
        </w:rPr>
      </w:pPr>
    </w:p>
    <w:p w:rsidR="001C5B1F" w:rsidRPr="002E0A6F" w:rsidRDefault="001C5B1F" w:rsidP="00182A59">
      <w:pPr>
        <w:jc w:val="both"/>
        <w:rPr>
          <w:rFonts w:ascii="Century Schoolbook" w:hAnsi="Century Schoolbook" w:cs="Arial"/>
          <w:b/>
          <w:sz w:val="24"/>
          <w:szCs w:val="24"/>
        </w:rPr>
      </w:pPr>
      <w:r w:rsidRPr="002E0A6F">
        <w:rPr>
          <w:rFonts w:ascii="Century Schoolbook" w:hAnsi="Century Schoolbook" w:cs="Arial"/>
          <w:b/>
          <w:sz w:val="24"/>
          <w:szCs w:val="24"/>
        </w:rPr>
        <w:t>Relationship among variables</w:t>
      </w:r>
    </w:p>
    <w:p w:rsidR="001C5B1F" w:rsidRPr="002E0A6F" w:rsidRDefault="001C5B1F" w:rsidP="00182A59">
      <w:pPr>
        <w:jc w:val="both"/>
        <w:rPr>
          <w:rFonts w:ascii="Century Schoolbook" w:hAnsi="Century Schoolbook" w:cs="Arial"/>
          <w:sz w:val="24"/>
          <w:szCs w:val="24"/>
        </w:rPr>
      </w:pPr>
      <w:r w:rsidRPr="002E0A6F">
        <w:rPr>
          <w:rFonts w:ascii="Century Schoolbook" w:hAnsi="Century Schoolbook" w:cs="Arial"/>
          <w:sz w:val="24"/>
          <w:szCs w:val="24"/>
        </w:rPr>
        <w:t>Once MDI matrix has been identified and constructed, the next step in MICMAC analysis is to define the relationship among variables. There are two ways to describe this relationship. The first one is by depicting the position of the variables through Influence-Dependence Map and the second is through inter-connecting amon</w:t>
      </w:r>
      <w:r w:rsidR="00992F77">
        <w:rPr>
          <w:rFonts w:ascii="Century Schoolbook" w:hAnsi="Century Schoolbook" w:cs="Arial"/>
          <w:sz w:val="24"/>
          <w:szCs w:val="24"/>
        </w:rPr>
        <w:t>g variables. The I</w:t>
      </w:r>
      <w:r w:rsidRPr="002E0A6F">
        <w:rPr>
          <w:rFonts w:ascii="Century Schoolbook" w:hAnsi="Century Schoolbook" w:cs="Arial"/>
          <w:sz w:val="24"/>
          <w:szCs w:val="24"/>
        </w:rPr>
        <w:t>nfluence-Dependence Map of these 21 variables is described in Figure 3 below</w:t>
      </w:r>
    </w:p>
    <w:p w:rsidR="002F3C5D" w:rsidRPr="002E0A6F" w:rsidRDefault="002F3C5D" w:rsidP="00182A59">
      <w:pPr>
        <w:jc w:val="both"/>
        <w:rPr>
          <w:rFonts w:ascii="Century Schoolbook" w:hAnsi="Century Schoolbook" w:cs="Arial"/>
          <w:sz w:val="24"/>
          <w:szCs w:val="24"/>
        </w:rPr>
      </w:pPr>
    </w:p>
    <w:p w:rsidR="001C5B1F" w:rsidRPr="002E0A6F" w:rsidRDefault="002F3C5D" w:rsidP="00182A59">
      <w:pPr>
        <w:jc w:val="both"/>
        <w:rPr>
          <w:rFonts w:ascii="Century Schoolbook" w:hAnsi="Century Schoolbook" w:cs="Arial"/>
          <w:sz w:val="24"/>
          <w:szCs w:val="24"/>
        </w:rPr>
      </w:pPr>
      <w:r w:rsidRPr="002E0A6F">
        <w:rPr>
          <w:rFonts w:ascii="Century Schoolbook" w:hAnsi="Century Schoolbook" w:cs="Arial"/>
          <w:noProof/>
          <w:sz w:val="24"/>
          <w:szCs w:val="24"/>
        </w:rPr>
        <w:drawing>
          <wp:inline distT="0" distB="0" distL="0" distR="0">
            <wp:extent cx="6331585" cy="3617406"/>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43480" cy="3624202"/>
                    </a:xfrm>
                    <a:prstGeom prst="rect">
                      <a:avLst/>
                    </a:prstGeom>
                    <a:noFill/>
                  </pic:spPr>
                </pic:pic>
              </a:graphicData>
            </a:graphic>
          </wp:inline>
        </w:drawing>
      </w:r>
    </w:p>
    <w:p w:rsidR="002F3C5D" w:rsidRPr="002E0A6F" w:rsidRDefault="002F3C5D" w:rsidP="002F3C5D">
      <w:pPr>
        <w:jc w:val="center"/>
        <w:rPr>
          <w:rFonts w:ascii="Century Schoolbook" w:hAnsi="Century Schoolbook" w:cs="Arial"/>
          <w:sz w:val="24"/>
          <w:szCs w:val="24"/>
        </w:rPr>
      </w:pPr>
      <w:r w:rsidRPr="002E0A6F">
        <w:rPr>
          <w:rFonts w:ascii="Century Schoolbook" w:hAnsi="Century Schoolbook" w:cs="Arial"/>
          <w:sz w:val="24"/>
          <w:szCs w:val="24"/>
        </w:rPr>
        <w:t>Figure 2. Influence-Dependence Map</w:t>
      </w:r>
    </w:p>
    <w:p w:rsidR="001C5B1F" w:rsidRPr="002E0A6F" w:rsidRDefault="001C5B1F" w:rsidP="00182A59">
      <w:pPr>
        <w:jc w:val="both"/>
        <w:rPr>
          <w:rFonts w:ascii="Century Schoolbook" w:hAnsi="Century Schoolbook" w:cs="Arial"/>
          <w:sz w:val="24"/>
          <w:szCs w:val="24"/>
        </w:rPr>
      </w:pPr>
    </w:p>
    <w:p w:rsidR="001C5B1F" w:rsidRPr="002E0A6F" w:rsidRDefault="00CF35BF" w:rsidP="00182A59">
      <w:pPr>
        <w:jc w:val="both"/>
        <w:rPr>
          <w:rFonts w:ascii="Century Schoolbook" w:hAnsi="Century Schoolbook" w:cs="Arial"/>
          <w:sz w:val="24"/>
          <w:szCs w:val="24"/>
        </w:rPr>
      </w:pPr>
      <w:r w:rsidRPr="002E0A6F">
        <w:rPr>
          <w:rFonts w:ascii="Century Schoolbook" w:hAnsi="Century Schoolbook" w:cs="Arial"/>
          <w:sz w:val="24"/>
          <w:szCs w:val="24"/>
        </w:rPr>
        <w:t>As can be seen from Figure 2, most socio-cultural and institutional variables are placed in the map as drivers or input variables. These variables are extension services, farmer’s group, number of farmers, level of education as well as level or</w:t>
      </w:r>
      <w:r w:rsidR="00992F77">
        <w:rPr>
          <w:rFonts w:ascii="Century Schoolbook" w:hAnsi="Century Schoolbook" w:cs="Arial"/>
          <w:sz w:val="24"/>
          <w:szCs w:val="24"/>
        </w:rPr>
        <w:t xml:space="preserve"> participation. These variables </w:t>
      </w:r>
      <w:r w:rsidRPr="002E0A6F">
        <w:rPr>
          <w:rFonts w:ascii="Century Schoolbook" w:hAnsi="Century Schoolbook" w:cs="Arial"/>
          <w:sz w:val="24"/>
          <w:szCs w:val="24"/>
        </w:rPr>
        <w:t xml:space="preserve">serve as key driver in order that alternative livelihood to be sustainable. </w:t>
      </w:r>
    </w:p>
    <w:p w:rsidR="00D71255" w:rsidRDefault="00CF35BF" w:rsidP="00182A59">
      <w:pPr>
        <w:jc w:val="both"/>
        <w:rPr>
          <w:rFonts w:ascii="Century Schoolbook" w:hAnsi="Century Schoolbook" w:cs="Arial"/>
          <w:sz w:val="24"/>
          <w:szCs w:val="24"/>
        </w:rPr>
      </w:pPr>
      <w:r w:rsidRPr="002E0A6F">
        <w:rPr>
          <w:rFonts w:ascii="Century Schoolbook" w:hAnsi="Century Schoolbook" w:cs="Arial"/>
          <w:sz w:val="24"/>
          <w:szCs w:val="24"/>
        </w:rPr>
        <w:t>The second group of variables that also play a crucial role is relay variables. These variables are located in the upper right corner (north-east corner) of the map. Relay variables are those both influential as well as dependence. These variables could cause instability in the sustainability of alternative livelihood. Any slight changes in these variable</w:t>
      </w:r>
      <w:r w:rsidR="00CA1B5C" w:rsidRPr="002E0A6F">
        <w:rPr>
          <w:rFonts w:ascii="Century Schoolbook" w:hAnsi="Century Schoolbook" w:cs="Arial"/>
          <w:sz w:val="24"/>
          <w:szCs w:val="24"/>
        </w:rPr>
        <w:t>s</w:t>
      </w:r>
      <w:r w:rsidRPr="002E0A6F">
        <w:rPr>
          <w:rFonts w:ascii="Century Schoolbook" w:hAnsi="Century Schoolbook" w:cs="Arial"/>
          <w:sz w:val="24"/>
          <w:szCs w:val="24"/>
        </w:rPr>
        <w:t xml:space="preserve"> could cause system of alternative livelihood to be unsustainable. Variables which have position as relay variables are mostly on economic and technological dimensions. These are access to market, feasibility of livestock, price of livestock, availability of post-harvest industries and empowerment of farmers.</w:t>
      </w:r>
      <w:r w:rsidR="00CA1B5C" w:rsidRPr="002E0A6F">
        <w:rPr>
          <w:rFonts w:ascii="Century Schoolbook" w:hAnsi="Century Schoolbook" w:cs="Arial"/>
          <w:sz w:val="24"/>
          <w:szCs w:val="24"/>
        </w:rPr>
        <w:t xml:space="preserve"> Access to market, for example, can be considered as relay variable (both influence and dependence) since access to market can influence any other aspects related to sustainability of alternative livelihood, especially, the pig farming and product resulted from traditional weaving. This variable, in the meantime, could also be considered as dependence variable since access to market depends on other variables such infrastructure, access to farmer’s group, number of farmers and many others. Hence any changes in access to market could cause to level of sustainability in the community economic system of alternative livelihood.</w:t>
      </w:r>
    </w:p>
    <w:p w:rsidR="0045529A" w:rsidRPr="002E0A6F" w:rsidRDefault="0045529A" w:rsidP="00182A59">
      <w:pPr>
        <w:jc w:val="both"/>
        <w:rPr>
          <w:rFonts w:ascii="Century Schoolbook" w:hAnsi="Century Schoolbook" w:cs="Arial"/>
          <w:sz w:val="24"/>
          <w:szCs w:val="24"/>
        </w:rPr>
      </w:pPr>
      <w:r>
        <w:rPr>
          <w:rFonts w:ascii="Century Schoolbook" w:hAnsi="Century Schoolbook" w:cs="Arial"/>
          <w:sz w:val="24"/>
          <w:szCs w:val="24"/>
        </w:rPr>
        <w:t>Other group of variables are located in the south-west corner of the map. These variables are known as autonomous variables or “buffer variables”. They have both characterized as little influence and dependence. Variables such land availability, local government revenue, feeds as well as maintenance have little influence on the sustainability of alternative livelihoods. This is due to that fact that these variables are not too specifically related to alternative livelihoods such as traditional weaving and pig farming. Farmers can get feeds from natural sources, for example. Similarly weavings do not require land as factor of inputs.</w:t>
      </w:r>
    </w:p>
    <w:p w:rsidR="00CF35BF" w:rsidRPr="002E0A6F" w:rsidRDefault="00D71255" w:rsidP="00182A59">
      <w:pPr>
        <w:jc w:val="both"/>
        <w:rPr>
          <w:rFonts w:ascii="Century Schoolbook" w:hAnsi="Century Schoolbook" w:cs="Arial"/>
          <w:sz w:val="24"/>
          <w:szCs w:val="24"/>
        </w:rPr>
      </w:pPr>
      <w:r w:rsidRPr="002E0A6F">
        <w:rPr>
          <w:rFonts w:ascii="Century Schoolbook" w:hAnsi="Century Schoolbook" w:cs="Arial"/>
          <w:sz w:val="24"/>
          <w:szCs w:val="24"/>
        </w:rPr>
        <w:t>The following Figure</w:t>
      </w:r>
      <w:r w:rsidR="00CF35BF" w:rsidRPr="002E0A6F">
        <w:rPr>
          <w:rFonts w:ascii="Century Schoolbook" w:hAnsi="Century Schoolbook" w:cs="Arial"/>
          <w:sz w:val="24"/>
          <w:szCs w:val="24"/>
        </w:rPr>
        <w:t xml:space="preserve"> </w:t>
      </w:r>
      <w:r w:rsidRPr="002E0A6F">
        <w:rPr>
          <w:rFonts w:ascii="Century Schoolbook" w:hAnsi="Century Schoolbook" w:cs="Arial"/>
          <w:sz w:val="24"/>
          <w:szCs w:val="24"/>
        </w:rPr>
        <w:t>3 describes the relationship among variables known as Direct Influence graph.</w:t>
      </w:r>
    </w:p>
    <w:p w:rsidR="00D71255" w:rsidRPr="002E0A6F" w:rsidRDefault="00D71255" w:rsidP="00182A59">
      <w:pPr>
        <w:jc w:val="both"/>
        <w:rPr>
          <w:rFonts w:ascii="Century Schoolbook" w:hAnsi="Century Schoolbook" w:cs="Arial"/>
          <w:sz w:val="24"/>
          <w:szCs w:val="24"/>
        </w:rPr>
      </w:pPr>
    </w:p>
    <w:p w:rsidR="00D71255" w:rsidRPr="002E0A6F" w:rsidRDefault="00D71255" w:rsidP="00D71255">
      <w:pPr>
        <w:jc w:val="center"/>
        <w:rPr>
          <w:rFonts w:ascii="Century Schoolbook" w:hAnsi="Century Schoolbook" w:cs="Arial"/>
          <w:sz w:val="24"/>
          <w:szCs w:val="24"/>
        </w:rPr>
      </w:pPr>
      <w:r w:rsidRPr="002E0A6F">
        <w:rPr>
          <w:rFonts w:ascii="Century Schoolbook" w:hAnsi="Century Schoolbook"/>
          <w:noProof/>
          <w:sz w:val="24"/>
          <w:szCs w:val="24"/>
        </w:rPr>
        <w:drawing>
          <wp:inline distT="0" distB="0" distL="0" distR="0">
            <wp:extent cx="4692650" cy="31524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08748" cy="3163256"/>
                    </a:xfrm>
                    <a:prstGeom prst="rect">
                      <a:avLst/>
                    </a:prstGeom>
                    <a:noFill/>
                    <a:ln>
                      <a:noFill/>
                    </a:ln>
                  </pic:spPr>
                </pic:pic>
              </a:graphicData>
            </a:graphic>
          </wp:inline>
        </w:drawing>
      </w:r>
    </w:p>
    <w:p w:rsidR="00D71255" w:rsidRPr="002E0A6F" w:rsidRDefault="00D71255" w:rsidP="00D71255">
      <w:pPr>
        <w:jc w:val="center"/>
        <w:rPr>
          <w:rFonts w:ascii="Century Schoolbook" w:hAnsi="Century Schoolbook" w:cs="Arial"/>
          <w:sz w:val="24"/>
          <w:szCs w:val="24"/>
        </w:rPr>
      </w:pPr>
      <w:r w:rsidRPr="002E0A6F">
        <w:rPr>
          <w:rFonts w:ascii="Century Schoolbook" w:hAnsi="Century Schoolbook" w:cs="Arial"/>
          <w:sz w:val="24"/>
          <w:szCs w:val="24"/>
        </w:rPr>
        <w:t>Figure 3. Direct influence graph for sustainable livelihood</w:t>
      </w:r>
    </w:p>
    <w:p w:rsidR="00D71255" w:rsidRPr="002E0A6F" w:rsidRDefault="00D71255" w:rsidP="00D71255">
      <w:pPr>
        <w:jc w:val="center"/>
        <w:rPr>
          <w:rFonts w:ascii="Century Schoolbook" w:hAnsi="Century Schoolbook" w:cs="Arial"/>
          <w:sz w:val="24"/>
          <w:szCs w:val="24"/>
        </w:rPr>
      </w:pPr>
    </w:p>
    <w:p w:rsidR="00D71255" w:rsidRPr="002E0A6F" w:rsidRDefault="00D71255" w:rsidP="00D71255">
      <w:pPr>
        <w:jc w:val="both"/>
        <w:rPr>
          <w:rFonts w:ascii="Century Schoolbook" w:hAnsi="Century Schoolbook" w:cs="Arial"/>
          <w:sz w:val="24"/>
          <w:szCs w:val="24"/>
        </w:rPr>
      </w:pPr>
      <w:r w:rsidRPr="002E0A6F">
        <w:rPr>
          <w:rFonts w:ascii="Century Schoolbook" w:hAnsi="Century Schoolbook" w:cs="Arial"/>
          <w:sz w:val="24"/>
          <w:szCs w:val="24"/>
        </w:rPr>
        <w:t>As can be seen from Figure 3, most variables from economic, technological and institutional aspects have strong influence on other variables. Access to market and price of livestock are strongly influenced by other economic variables, while empowerment and education as well as the presence of cooperative institution has strong influence on participation, technology and participation, respectively. The second degree of influence is shown by socio-cultural and environmental variables and weak influence is shown by variable land</w:t>
      </w:r>
      <w:r w:rsidR="003F2895" w:rsidRPr="002E0A6F">
        <w:rPr>
          <w:rFonts w:ascii="Century Schoolbook" w:hAnsi="Century Schoolbook" w:cs="Arial"/>
          <w:sz w:val="24"/>
          <w:szCs w:val="24"/>
        </w:rPr>
        <w:t xml:space="preserve"> and type of livestock.</w:t>
      </w:r>
      <w:r w:rsidRPr="002E0A6F">
        <w:rPr>
          <w:rFonts w:ascii="Century Schoolbook" w:hAnsi="Century Schoolbook" w:cs="Arial"/>
          <w:sz w:val="24"/>
          <w:szCs w:val="24"/>
        </w:rPr>
        <w:t xml:space="preserve"> </w:t>
      </w:r>
    </w:p>
    <w:p w:rsidR="001C5B1F" w:rsidRPr="002E0A6F" w:rsidRDefault="00813734" w:rsidP="00182A59">
      <w:pPr>
        <w:jc w:val="both"/>
        <w:rPr>
          <w:rFonts w:ascii="Century Schoolbook" w:hAnsi="Century Schoolbook" w:cs="Arial"/>
          <w:sz w:val="24"/>
          <w:szCs w:val="24"/>
        </w:rPr>
      </w:pPr>
      <w:r w:rsidRPr="002E0A6F">
        <w:rPr>
          <w:rFonts w:ascii="Century Schoolbook" w:hAnsi="Century Schoolbook" w:cs="Arial"/>
          <w:sz w:val="24"/>
          <w:szCs w:val="24"/>
        </w:rPr>
        <w:t>The relationship among variables from indirect influence perspectives can be seen in Figure 4.</w:t>
      </w:r>
      <w:r w:rsidR="002E0A6F" w:rsidRPr="002E0A6F">
        <w:rPr>
          <w:rFonts w:ascii="Century Schoolbook" w:hAnsi="Century Schoolbook" w:cs="Arial"/>
          <w:sz w:val="24"/>
          <w:szCs w:val="24"/>
        </w:rPr>
        <w:t xml:space="preserve"> Compared with Figure 3, one can see that in terms of indirect influence, only the presence of cooperative institution has the strongest indirect influence to the market of livestock, while most variables are either relative strong and moderately strong indirect influence toward other variables.  Figure 4 also indicates that land availability has the weakest indirect influence among other variables. This might be due to the fact that land is not an issue for the community as they can raise the pigs farming within their own backyard or let them free around the island. Similarly, traditional weaving activities can be carried out in their home without requires excessive land.</w:t>
      </w:r>
    </w:p>
    <w:p w:rsidR="003F2895" w:rsidRPr="002E0A6F" w:rsidRDefault="003F2895" w:rsidP="00182A59">
      <w:pPr>
        <w:jc w:val="both"/>
        <w:rPr>
          <w:rFonts w:ascii="Century Schoolbook" w:hAnsi="Century Schoolbook" w:cs="Arial"/>
          <w:sz w:val="24"/>
          <w:szCs w:val="24"/>
        </w:rPr>
      </w:pPr>
    </w:p>
    <w:p w:rsidR="003F2895" w:rsidRPr="002E0A6F" w:rsidRDefault="003F2895" w:rsidP="003F2895">
      <w:pPr>
        <w:jc w:val="center"/>
        <w:rPr>
          <w:rFonts w:ascii="Century Schoolbook" w:hAnsi="Century Schoolbook" w:cs="Arial"/>
          <w:sz w:val="24"/>
          <w:szCs w:val="24"/>
        </w:rPr>
      </w:pPr>
      <w:r w:rsidRPr="002E0A6F">
        <w:rPr>
          <w:rFonts w:ascii="Century Schoolbook" w:hAnsi="Century Schoolbook"/>
          <w:noProof/>
          <w:sz w:val="24"/>
          <w:szCs w:val="24"/>
        </w:rPr>
        <w:drawing>
          <wp:inline distT="0" distB="0" distL="0" distR="0">
            <wp:extent cx="4767580" cy="3249386"/>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78846" cy="3257064"/>
                    </a:xfrm>
                    <a:prstGeom prst="rect">
                      <a:avLst/>
                    </a:prstGeom>
                    <a:noFill/>
                    <a:ln>
                      <a:noFill/>
                    </a:ln>
                  </pic:spPr>
                </pic:pic>
              </a:graphicData>
            </a:graphic>
          </wp:inline>
        </w:drawing>
      </w:r>
    </w:p>
    <w:p w:rsidR="001C5B1F" w:rsidRDefault="001C5B1F" w:rsidP="00182A59">
      <w:pPr>
        <w:jc w:val="both"/>
        <w:rPr>
          <w:rFonts w:ascii="Century Schoolbook" w:hAnsi="Century Schoolbook" w:cs="Arial"/>
          <w:sz w:val="24"/>
          <w:szCs w:val="24"/>
        </w:rPr>
      </w:pPr>
    </w:p>
    <w:p w:rsidR="002E0A6F" w:rsidRPr="002E0A6F" w:rsidRDefault="002E0A6F" w:rsidP="002E0A6F">
      <w:pPr>
        <w:jc w:val="center"/>
        <w:rPr>
          <w:rFonts w:ascii="Century Schoolbook" w:hAnsi="Century Schoolbook" w:cs="Arial"/>
          <w:sz w:val="24"/>
          <w:szCs w:val="24"/>
        </w:rPr>
      </w:pPr>
      <w:r>
        <w:rPr>
          <w:rFonts w:ascii="Century Schoolbook" w:hAnsi="Century Schoolbook" w:cs="Arial"/>
          <w:sz w:val="24"/>
          <w:szCs w:val="24"/>
        </w:rPr>
        <w:t>Figure 4. Map of Indirect influence among variables</w:t>
      </w:r>
    </w:p>
    <w:p w:rsidR="001C5B1F" w:rsidRPr="002E0A6F" w:rsidRDefault="001C5B1F" w:rsidP="00182A59">
      <w:pPr>
        <w:jc w:val="both"/>
        <w:rPr>
          <w:rFonts w:ascii="Century Schoolbook" w:hAnsi="Century Schoolbook" w:cs="Arial"/>
          <w:sz w:val="24"/>
          <w:szCs w:val="24"/>
        </w:rPr>
      </w:pPr>
    </w:p>
    <w:p w:rsidR="001C5B1F" w:rsidRPr="002E0A6F" w:rsidRDefault="001C5B1F" w:rsidP="00182A59">
      <w:pPr>
        <w:jc w:val="both"/>
        <w:rPr>
          <w:rFonts w:ascii="Century Schoolbook" w:hAnsi="Century Schoolbook" w:cs="Arial"/>
          <w:sz w:val="24"/>
          <w:szCs w:val="24"/>
        </w:rPr>
      </w:pPr>
    </w:p>
    <w:p w:rsidR="001C5B1F" w:rsidRPr="002E0A6F" w:rsidRDefault="002E0A6F" w:rsidP="00182A59">
      <w:pPr>
        <w:jc w:val="both"/>
        <w:rPr>
          <w:rFonts w:ascii="Century Schoolbook" w:hAnsi="Century Schoolbook" w:cs="Arial"/>
          <w:sz w:val="24"/>
          <w:szCs w:val="24"/>
        </w:rPr>
      </w:pPr>
      <w:r>
        <w:rPr>
          <w:rFonts w:ascii="Century Schoolbook" w:hAnsi="Century Schoolbook" w:cs="Arial"/>
          <w:sz w:val="24"/>
          <w:szCs w:val="24"/>
        </w:rPr>
        <w:t xml:space="preserve">Figure 5 describes </w:t>
      </w:r>
      <w:r w:rsidR="002E63F2">
        <w:rPr>
          <w:rFonts w:ascii="Century Schoolbook" w:hAnsi="Century Schoolbook" w:cs="Arial"/>
          <w:sz w:val="24"/>
          <w:szCs w:val="24"/>
        </w:rPr>
        <w:t xml:space="preserve">ranking comparison among variables according to their influences. As can be seen from Figure 5, there are some displacement among variable once the indirect influences have been calculated. For example, number of farmer (jmlhptrnk) and education have been displace each other. Previously number of farmer was in rank 2 under MDI matrix. This variable, however, is now rank 3 and bas been displaced by level of education once the indirect influences have been take into account. A big displacement also occurs for variable social role whereby from MDI matrix it was in rank 13 now has moved to rank 10.  </w:t>
      </w:r>
    </w:p>
    <w:p w:rsidR="003F2895" w:rsidRPr="002E0A6F" w:rsidRDefault="003F2895" w:rsidP="00182A59">
      <w:pPr>
        <w:jc w:val="both"/>
        <w:rPr>
          <w:rFonts w:ascii="Century Schoolbook" w:hAnsi="Century Schoolbook" w:cs="Arial"/>
          <w:sz w:val="24"/>
          <w:szCs w:val="24"/>
        </w:rPr>
      </w:pPr>
    </w:p>
    <w:p w:rsidR="003F2895" w:rsidRPr="002E0A6F" w:rsidRDefault="002E63F2" w:rsidP="002E63F2">
      <w:pPr>
        <w:jc w:val="center"/>
        <w:rPr>
          <w:rFonts w:ascii="Century Schoolbook" w:hAnsi="Century Schoolbook" w:cs="Arial"/>
          <w:sz w:val="24"/>
          <w:szCs w:val="24"/>
        </w:rPr>
      </w:pPr>
      <w:r w:rsidRPr="002E63F2">
        <w:rPr>
          <w:noProof/>
        </w:rPr>
        <w:drawing>
          <wp:inline distT="0" distB="0" distL="0" distR="0">
            <wp:extent cx="2700337" cy="3334276"/>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06669" cy="3342094"/>
                    </a:xfrm>
                    <a:prstGeom prst="rect">
                      <a:avLst/>
                    </a:prstGeom>
                    <a:noFill/>
                    <a:ln>
                      <a:noFill/>
                    </a:ln>
                  </pic:spPr>
                </pic:pic>
              </a:graphicData>
            </a:graphic>
          </wp:inline>
        </w:drawing>
      </w:r>
    </w:p>
    <w:p w:rsidR="00392C08" w:rsidRDefault="002E63F2" w:rsidP="002E63F2">
      <w:pPr>
        <w:jc w:val="center"/>
        <w:rPr>
          <w:rFonts w:ascii="Century Schoolbook" w:hAnsi="Century Schoolbook" w:cs="Arial"/>
          <w:sz w:val="24"/>
          <w:szCs w:val="24"/>
        </w:rPr>
      </w:pPr>
      <w:r>
        <w:rPr>
          <w:rFonts w:ascii="Century Schoolbook" w:hAnsi="Century Schoolbook" w:cs="Arial"/>
          <w:sz w:val="24"/>
          <w:szCs w:val="24"/>
        </w:rPr>
        <w:t>Figure 5. Ranking comparison according to influences</w:t>
      </w:r>
    </w:p>
    <w:p w:rsidR="002E63F2" w:rsidRDefault="002E63F2" w:rsidP="00F24073">
      <w:pPr>
        <w:jc w:val="both"/>
        <w:rPr>
          <w:rFonts w:ascii="Century Schoolbook" w:hAnsi="Century Schoolbook" w:cs="Arial"/>
          <w:sz w:val="24"/>
          <w:szCs w:val="24"/>
        </w:rPr>
      </w:pPr>
      <w:r>
        <w:rPr>
          <w:rFonts w:ascii="Century Schoolbook" w:hAnsi="Century Schoolbook" w:cs="Arial"/>
          <w:sz w:val="24"/>
          <w:szCs w:val="24"/>
        </w:rPr>
        <w:t xml:space="preserve">The ranking comparison for according to the dependences is depicted in Figure 6.  </w:t>
      </w:r>
      <w:r w:rsidR="00F24073">
        <w:rPr>
          <w:rFonts w:ascii="Century Schoolbook" w:hAnsi="Century Schoolbook" w:cs="Arial"/>
          <w:sz w:val="24"/>
          <w:szCs w:val="24"/>
        </w:rPr>
        <w:t xml:space="preserve">As shown in Figure 6 three economic indicators are consistent in the top three as dependence variables i.e price, access to market and feasibility. The variable of the presence of post-harvest for pig farming, however, has been displaced quite significantly from rank 4 under MDI matrix to rank 6 once the indirect influence has been calculated. This indicates that such a variable is not priority at this time. Education variable, however, has jumped from rank 7 as dependence variable into rank 5 under MII matrix. This indicates that there is significant role of education in the community which can be influenced by other factor in sustainable livelihood. </w:t>
      </w:r>
    </w:p>
    <w:p w:rsidR="002E63F2" w:rsidRDefault="002E63F2" w:rsidP="002E63F2">
      <w:pPr>
        <w:jc w:val="center"/>
        <w:rPr>
          <w:rFonts w:ascii="Century Schoolbook" w:hAnsi="Century Schoolbook" w:cs="Arial"/>
          <w:sz w:val="24"/>
          <w:szCs w:val="24"/>
        </w:rPr>
      </w:pPr>
      <w:r w:rsidRPr="002E63F2">
        <w:rPr>
          <w:rFonts w:ascii="Century Schoolbook" w:hAnsi="Century Schoolbook" w:cs="Arial"/>
          <w:noProof/>
          <w:sz w:val="24"/>
          <w:szCs w:val="24"/>
        </w:rPr>
        <w:drawing>
          <wp:inline distT="0" distB="0" distL="0" distR="0">
            <wp:extent cx="2150110" cy="27787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50110" cy="2778760"/>
                    </a:xfrm>
                    <a:prstGeom prst="rect">
                      <a:avLst/>
                    </a:prstGeom>
                    <a:noFill/>
                    <a:ln>
                      <a:noFill/>
                    </a:ln>
                  </pic:spPr>
                </pic:pic>
              </a:graphicData>
            </a:graphic>
          </wp:inline>
        </w:drawing>
      </w:r>
    </w:p>
    <w:p w:rsidR="00F24073" w:rsidRDefault="00F24073" w:rsidP="00392C08">
      <w:pPr>
        <w:jc w:val="both"/>
        <w:rPr>
          <w:rFonts w:ascii="Century Schoolbook" w:hAnsi="Century Schoolbook" w:cs="Arial"/>
          <w:sz w:val="24"/>
          <w:szCs w:val="24"/>
        </w:rPr>
      </w:pPr>
    </w:p>
    <w:p w:rsidR="00F24073" w:rsidRDefault="00F24073" w:rsidP="00392C08">
      <w:pPr>
        <w:jc w:val="both"/>
        <w:rPr>
          <w:rFonts w:ascii="Century Schoolbook" w:hAnsi="Century Schoolbook" w:cs="Arial"/>
          <w:sz w:val="24"/>
          <w:szCs w:val="24"/>
        </w:rPr>
      </w:pPr>
    </w:p>
    <w:p w:rsidR="00F24073" w:rsidRPr="00992F77" w:rsidRDefault="00F24073" w:rsidP="00392C08">
      <w:pPr>
        <w:jc w:val="both"/>
        <w:rPr>
          <w:rFonts w:ascii="Century Schoolbook" w:hAnsi="Century Schoolbook" w:cs="Arial"/>
          <w:b/>
          <w:sz w:val="24"/>
          <w:szCs w:val="24"/>
        </w:rPr>
      </w:pPr>
      <w:r w:rsidRPr="00992F77">
        <w:rPr>
          <w:rFonts w:ascii="Century Schoolbook" w:hAnsi="Century Schoolbook" w:cs="Arial"/>
          <w:b/>
          <w:sz w:val="24"/>
          <w:szCs w:val="24"/>
        </w:rPr>
        <w:t>Concluding Remarks</w:t>
      </w:r>
    </w:p>
    <w:p w:rsidR="00F24073" w:rsidRDefault="00F24073" w:rsidP="00392C08">
      <w:pPr>
        <w:jc w:val="both"/>
        <w:rPr>
          <w:rFonts w:ascii="Century Schoolbook" w:hAnsi="Century Schoolbook" w:cs="Arial"/>
          <w:sz w:val="24"/>
          <w:szCs w:val="24"/>
        </w:rPr>
      </w:pPr>
      <w:r>
        <w:rPr>
          <w:rFonts w:ascii="Century Schoolbook" w:hAnsi="Century Schoolbook" w:cs="Arial"/>
          <w:sz w:val="24"/>
          <w:szCs w:val="24"/>
        </w:rPr>
        <w:t>Providing alternative livelihood for coastal communities in Rote Island is an essential part to cope with uncertainty arising from external and internal shocks in the communities. Nevertheless, there is challenging issue to achieve sustainable level of alternative livelihood whereby various variables could influence the sustainability of the livelihood in the coastal economic system. This paper has shown that by identifying key variables of sustainable livelihood, it helps policy makers to map which elements that could be used as input variables to deliver the policy to sustain the livelihood of the communities. It also helps to identify variables that could serve as leverage variables whereby any changes in these variables could be detected earlier</w:t>
      </w:r>
      <w:r w:rsidR="009D7B8D">
        <w:rPr>
          <w:rFonts w:ascii="Century Schoolbook" w:hAnsi="Century Schoolbook" w:cs="Arial"/>
          <w:sz w:val="24"/>
          <w:szCs w:val="24"/>
        </w:rPr>
        <w:t xml:space="preserve"> so that future anticipation and better planning could be designed. Results derived from this study could be used as lessons learned for all relevant stakeholders for better management of coastal area in  general, and coastal livelihood in particular.</w:t>
      </w:r>
    </w:p>
    <w:p w:rsidR="00F24073" w:rsidRDefault="00F24073" w:rsidP="00392C08">
      <w:pPr>
        <w:jc w:val="both"/>
        <w:rPr>
          <w:rFonts w:ascii="Century Schoolbook" w:hAnsi="Century Schoolbook" w:cs="Arial"/>
          <w:sz w:val="24"/>
          <w:szCs w:val="24"/>
        </w:rPr>
      </w:pPr>
    </w:p>
    <w:p w:rsidR="00F24073" w:rsidRPr="00992F77" w:rsidRDefault="00AF7F06" w:rsidP="00392C08">
      <w:pPr>
        <w:jc w:val="both"/>
        <w:rPr>
          <w:rFonts w:ascii="Century Schoolbook" w:hAnsi="Century Schoolbook" w:cs="Arial"/>
          <w:b/>
          <w:sz w:val="24"/>
          <w:szCs w:val="24"/>
        </w:rPr>
      </w:pPr>
      <w:r w:rsidRPr="00992F77">
        <w:rPr>
          <w:rFonts w:ascii="Century Schoolbook" w:hAnsi="Century Schoolbook" w:cs="Arial"/>
          <w:b/>
          <w:sz w:val="24"/>
          <w:szCs w:val="24"/>
        </w:rPr>
        <w:t>Acknowledgement</w:t>
      </w:r>
    </w:p>
    <w:p w:rsidR="00AF7F06" w:rsidRDefault="00AF7F06" w:rsidP="00392C08">
      <w:pPr>
        <w:jc w:val="both"/>
        <w:rPr>
          <w:rFonts w:ascii="Century Schoolbook" w:hAnsi="Century Schoolbook" w:cs="Arial"/>
          <w:sz w:val="24"/>
          <w:szCs w:val="24"/>
        </w:rPr>
      </w:pPr>
      <w:r>
        <w:rPr>
          <w:rFonts w:ascii="Century Schoolbook" w:hAnsi="Century Schoolbook" w:cs="Arial"/>
          <w:sz w:val="24"/>
          <w:szCs w:val="24"/>
        </w:rPr>
        <w:t xml:space="preserve">The Authors would like to acknowledge </w:t>
      </w:r>
      <w:r w:rsidR="00992F77">
        <w:rPr>
          <w:rFonts w:ascii="Century Schoolbook" w:hAnsi="Century Schoolbook" w:cs="Arial"/>
          <w:sz w:val="24"/>
          <w:szCs w:val="24"/>
        </w:rPr>
        <w:t xml:space="preserve">Ministry of Research and Higher Education </w:t>
      </w:r>
      <w:r>
        <w:rPr>
          <w:rFonts w:ascii="Century Schoolbook" w:hAnsi="Century Schoolbook" w:cs="Arial"/>
          <w:sz w:val="24"/>
          <w:szCs w:val="24"/>
        </w:rPr>
        <w:t>of fu</w:t>
      </w:r>
      <w:r w:rsidR="00992F77">
        <w:rPr>
          <w:rFonts w:ascii="Century Schoolbook" w:hAnsi="Century Schoolbook" w:cs="Arial"/>
          <w:sz w:val="24"/>
          <w:szCs w:val="24"/>
        </w:rPr>
        <w:t>nding this research through MP3EI</w:t>
      </w:r>
      <w:r>
        <w:rPr>
          <w:rFonts w:ascii="Century Schoolbook" w:hAnsi="Century Schoolbook" w:cs="Arial"/>
          <w:sz w:val="24"/>
          <w:szCs w:val="24"/>
        </w:rPr>
        <w:t xml:space="preserve"> scheme. </w:t>
      </w:r>
    </w:p>
    <w:p w:rsidR="00F24073" w:rsidRDefault="00F24073" w:rsidP="00392C08">
      <w:pPr>
        <w:jc w:val="both"/>
        <w:rPr>
          <w:rFonts w:ascii="Century Schoolbook" w:hAnsi="Century Schoolbook" w:cs="Arial"/>
          <w:sz w:val="24"/>
          <w:szCs w:val="24"/>
        </w:rPr>
      </w:pPr>
    </w:p>
    <w:p w:rsidR="009D7B8D" w:rsidRDefault="009D7B8D" w:rsidP="00392C08">
      <w:pPr>
        <w:jc w:val="both"/>
        <w:rPr>
          <w:rFonts w:ascii="Century Schoolbook" w:hAnsi="Century Schoolbook" w:cs="Arial"/>
          <w:sz w:val="24"/>
          <w:szCs w:val="24"/>
        </w:rPr>
      </w:pPr>
    </w:p>
    <w:p w:rsidR="009D7B8D" w:rsidRDefault="009D7B8D" w:rsidP="00392C08">
      <w:pPr>
        <w:jc w:val="both"/>
        <w:rPr>
          <w:rFonts w:ascii="Century Schoolbook" w:hAnsi="Century Schoolbook" w:cs="Arial"/>
          <w:sz w:val="24"/>
          <w:szCs w:val="24"/>
        </w:rPr>
      </w:pPr>
    </w:p>
    <w:p w:rsidR="00392C08" w:rsidRPr="00F24073" w:rsidRDefault="002E63F2" w:rsidP="00392C08">
      <w:pPr>
        <w:jc w:val="both"/>
        <w:rPr>
          <w:rFonts w:ascii="Century Schoolbook" w:hAnsi="Century Schoolbook" w:cs="Arial"/>
          <w:b/>
          <w:sz w:val="24"/>
          <w:szCs w:val="24"/>
        </w:rPr>
      </w:pPr>
      <w:r w:rsidRPr="00F24073">
        <w:rPr>
          <w:rFonts w:ascii="Century Schoolbook" w:hAnsi="Century Schoolbook" w:cs="Arial"/>
          <w:b/>
          <w:sz w:val="24"/>
          <w:szCs w:val="24"/>
        </w:rPr>
        <w:t>R</w:t>
      </w:r>
      <w:r w:rsidR="00392C08" w:rsidRPr="00F24073">
        <w:rPr>
          <w:rFonts w:ascii="Century Schoolbook" w:hAnsi="Century Schoolbook" w:cs="Arial"/>
          <w:b/>
          <w:sz w:val="24"/>
          <w:szCs w:val="24"/>
        </w:rPr>
        <w:t>eferences</w:t>
      </w:r>
    </w:p>
    <w:p w:rsidR="00392C08" w:rsidRDefault="00392C08" w:rsidP="00392C08">
      <w:pPr>
        <w:jc w:val="both"/>
        <w:rPr>
          <w:rFonts w:ascii="Century Schoolbook" w:hAnsi="Century Schoolbook" w:cs="Arial"/>
          <w:sz w:val="24"/>
          <w:szCs w:val="24"/>
        </w:rPr>
      </w:pPr>
    </w:p>
    <w:p w:rsidR="006C583D" w:rsidRDefault="00F42659" w:rsidP="006C583D">
      <w:pPr>
        <w:pStyle w:val="NoSpacing"/>
        <w:rPr>
          <w:rFonts w:ascii="Century Schoolbook" w:hAnsi="Century Schoolbook"/>
          <w:sz w:val="24"/>
          <w:szCs w:val="24"/>
        </w:rPr>
      </w:pPr>
      <w:r w:rsidRPr="006C583D">
        <w:rPr>
          <w:rFonts w:ascii="Century Schoolbook" w:hAnsi="Century Schoolbook"/>
          <w:sz w:val="24"/>
          <w:szCs w:val="24"/>
        </w:rPr>
        <w:t xml:space="preserve">Ahmed, M.T., M. Saleh., A.F. Abdelkadir., A. Abdelrahim. 2009. El Maghara </w:t>
      </w:r>
    </w:p>
    <w:p w:rsidR="00F42659" w:rsidRPr="006C583D" w:rsidRDefault="00F42659" w:rsidP="006C583D">
      <w:pPr>
        <w:pStyle w:val="NoSpacing"/>
        <w:ind w:left="900"/>
        <w:rPr>
          <w:rFonts w:ascii="Century Schoolbook" w:hAnsi="Century Schoolbook"/>
          <w:sz w:val="24"/>
          <w:szCs w:val="24"/>
        </w:rPr>
      </w:pPr>
      <w:r w:rsidRPr="006C583D">
        <w:rPr>
          <w:rFonts w:ascii="Century Schoolbook" w:hAnsi="Century Schoolbook"/>
          <w:sz w:val="24"/>
          <w:szCs w:val="24"/>
        </w:rPr>
        <w:t>Scenario</w:t>
      </w:r>
      <w:r w:rsidR="006C583D">
        <w:rPr>
          <w:rFonts w:ascii="Century Schoolbook" w:hAnsi="Century Schoolbook"/>
          <w:sz w:val="24"/>
          <w:szCs w:val="24"/>
        </w:rPr>
        <w:t xml:space="preserve"> </w:t>
      </w:r>
      <w:r w:rsidRPr="006C583D">
        <w:rPr>
          <w:rFonts w:ascii="Century Schoolbook" w:hAnsi="Century Schoolbook"/>
          <w:sz w:val="24"/>
          <w:szCs w:val="24"/>
        </w:rPr>
        <w:t>A Search for Sustainability and Equity: An Egyptian Case Study. Journal of Futures Studies, November 2009, 14(2): 55 - 90</w:t>
      </w:r>
    </w:p>
    <w:p w:rsidR="006C583D" w:rsidRPr="00192567" w:rsidRDefault="006C583D" w:rsidP="006C583D">
      <w:pPr>
        <w:autoSpaceDE w:val="0"/>
        <w:autoSpaceDN w:val="0"/>
        <w:adjustRightInd w:val="0"/>
        <w:spacing w:after="0" w:line="240" w:lineRule="auto"/>
        <w:ind w:left="900" w:hanging="900"/>
        <w:jc w:val="both"/>
        <w:rPr>
          <w:rFonts w:ascii="Times New Roman" w:hAnsi="Times New Roman" w:cs="Times New Roman"/>
          <w:sz w:val="24"/>
          <w:szCs w:val="24"/>
        </w:rPr>
      </w:pPr>
      <w:r w:rsidRPr="00192567">
        <w:rPr>
          <w:rFonts w:ascii="Times New Roman" w:hAnsi="Times New Roman" w:cs="Times New Roman"/>
          <w:sz w:val="24"/>
          <w:szCs w:val="24"/>
        </w:rPr>
        <w:t>Allison E</w:t>
      </w:r>
      <w:r w:rsidRPr="00704CBB">
        <w:rPr>
          <w:rFonts w:ascii="Times New Roman" w:hAnsi="Times New Roman" w:cs="Times New Roman"/>
          <w:sz w:val="24"/>
          <w:szCs w:val="24"/>
        </w:rPr>
        <w:t>.</w:t>
      </w:r>
      <w:r w:rsidRPr="00192567">
        <w:rPr>
          <w:rFonts w:ascii="Times New Roman" w:hAnsi="Times New Roman" w:cs="Times New Roman"/>
          <w:sz w:val="24"/>
          <w:szCs w:val="24"/>
        </w:rPr>
        <w:t>H</w:t>
      </w:r>
      <w:r w:rsidRPr="00704CBB">
        <w:rPr>
          <w:rFonts w:ascii="Times New Roman" w:hAnsi="Times New Roman" w:cs="Times New Roman"/>
          <w:sz w:val="24"/>
          <w:szCs w:val="24"/>
        </w:rPr>
        <w:t>.</w:t>
      </w:r>
      <w:r>
        <w:rPr>
          <w:rFonts w:ascii="Times New Roman" w:hAnsi="Times New Roman" w:cs="Times New Roman"/>
          <w:sz w:val="24"/>
          <w:szCs w:val="24"/>
          <w:lang w:val="en-CA"/>
        </w:rPr>
        <w:t>,</w:t>
      </w:r>
      <w:r>
        <w:rPr>
          <w:rFonts w:ascii="Times New Roman" w:hAnsi="Times New Roman" w:cs="Times New Roman"/>
          <w:sz w:val="24"/>
          <w:szCs w:val="24"/>
        </w:rPr>
        <w:t xml:space="preserve"> </w:t>
      </w:r>
      <w:r w:rsidRPr="00192567">
        <w:rPr>
          <w:rFonts w:ascii="Times New Roman" w:hAnsi="Times New Roman" w:cs="Times New Roman"/>
          <w:sz w:val="24"/>
          <w:szCs w:val="24"/>
        </w:rPr>
        <w:t>Ellis</w:t>
      </w:r>
      <w:r>
        <w:rPr>
          <w:rFonts w:ascii="Times New Roman" w:hAnsi="Times New Roman" w:cs="Times New Roman"/>
          <w:sz w:val="24"/>
          <w:szCs w:val="24"/>
        </w:rPr>
        <w:t xml:space="preserve">, </w:t>
      </w:r>
      <w:r w:rsidRPr="00704CBB">
        <w:rPr>
          <w:rFonts w:ascii="Times New Roman" w:hAnsi="Times New Roman" w:cs="Times New Roman"/>
          <w:sz w:val="24"/>
          <w:szCs w:val="24"/>
        </w:rPr>
        <w:t>F.</w:t>
      </w:r>
      <w:r>
        <w:rPr>
          <w:rFonts w:ascii="Times New Roman" w:hAnsi="Times New Roman" w:cs="Times New Roman"/>
          <w:sz w:val="24"/>
          <w:szCs w:val="24"/>
        </w:rPr>
        <w:t xml:space="preserve">, </w:t>
      </w:r>
      <w:r w:rsidRPr="00192567">
        <w:rPr>
          <w:rFonts w:ascii="Times New Roman" w:hAnsi="Times New Roman" w:cs="Times New Roman"/>
          <w:sz w:val="24"/>
          <w:szCs w:val="24"/>
        </w:rPr>
        <w:t>2001</w:t>
      </w:r>
      <w:r w:rsidRPr="00704CBB">
        <w:rPr>
          <w:rFonts w:ascii="Times New Roman" w:hAnsi="Times New Roman" w:cs="Times New Roman"/>
          <w:sz w:val="24"/>
          <w:szCs w:val="24"/>
        </w:rPr>
        <w:t>.</w:t>
      </w:r>
      <w:r w:rsidRPr="00192567">
        <w:rPr>
          <w:rFonts w:ascii="Times New Roman" w:hAnsi="Times New Roman" w:cs="Times New Roman"/>
          <w:sz w:val="24"/>
          <w:szCs w:val="24"/>
        </w:rPr>
        <w:t xml:space="preserve"> The livelihoods approach and management of small-scale fisheries. </w:t>
      </w:r>
      <w:r w:rsidRPr="007252FB">
        <w:rPr>
          <w:rFonts w:ascii="Times New Roman" w:hAnsi="Times New Roman" w:cs="Times New Roman"/>
          <w:sz w:val="24"/>
          <w:szCs w:val="24"/>
        </w:rPr>
        <w:t>Marine Policy</w:t>
      </w:r>
      <w:r w:rsidRPr="00192567">
        <w:rPr>
          <w:rFonts w:ascii="Times New Roman" w:hAnsi="Times New Roman" w:cs="Times New Roman"/>
          <w:sz w:val="24"/>
          <w:szCs w:val="24"/>
        </w:rPr>
        <w:t xml:space="preserve"> </w:t>
      </w:r>
      <w:r w:rsidRPr="007252FB">
        <w:rPr>
          <w:rFonts w:ascii="Times New Roman" w:hAnsi="Times New Roman" w:cs="Times New Roman"/>
          <w:sz w:val="24"/>
          <w:szCs w:val="24"/>
        </w:rPr>
        <w:t>25</w:t>
      </w:r>
      <w:r>
        <w:rPr>
          <w:rFonts w:ascii="Times New Roman" w:hAnsi="Times New Roman" w:cs="Times New Roman"/>
          <w:sz w:val="24"/>
          <w:szCs w:val="24"/>
        </w:rPr>
        <w:t xml:space="preserve">, no. </w:t>
      </w:r>
      <w:r w:rsidRPr="00192567">
        <w:rPr>
          <w:rFonts w:ascii="Times New Roman" w:hAnsi="Times New Roman" w:cs="Times New Roman"/>
          <w:sz w:val="24"/>
          <w:szCs w:val="24"/>
        </w:rPr>
        <w:t>5</w:t>
      </w:r>
      <w:r>
        <w:rPr>
          <w:rFonts w:ascii="Times New Roman" w:hAnsi="Times New Roman" w:cs="Times New Roman"/>
          <w:sz w:val="24"/>
          <w:szCs w:val="24"/>
        </w:rPr>
        <w:t>,</w:t>
      </w:r>
      <w:r w:rsidRPr="00192567">
        <w:rPr>
          <w:rFonts w:ascii="Times New Roman" w:hAnsi="Times New Roman" w:cs="Times New Roman"/>
          <w:sz w:val="24"/>
          <w:szCs w:val="24"/>
        </w:rPr>
        <w:t xml:space="preserve"> 377-388. </w:t>
      </w:r>
    </w:p>
    <w:p w:rsidR="006C583D" w:rsidRPr="006C583D" w:rsidRDefault="00392C08" w:rsidP="006C583D">
      <w:pPr>
        <w:pStyle w:val="NoSpacing"/>
        <w:rPr>
          <w:rFonts w:ascii="Century Schoolbook" w:hAnsi="Century Schoolbook"/>
          <w:sz w:val="24"/>
          <w:szCs w:val="24"/>
        </w:rPr>
      </w:pPr>
      <w:r w:rsidRPr="006C583D">
        <w:rPr>
          <w:rFonts w:ascii="Century Schoolbook" w:hAnsi="Century Schoolbook"/>
          <w:sz w:val="24"/>
          <w:szCs w:val="24"/>
        </w:rPr>
        <w:t>Arozamena, E.R., M.C.R. Puente., and A.D. Ibarbia. 2012</w:t>
      </w:r>
      <w:r w:rsidR="00F42659" w:rsidRPr="006C583D">
        <w:rPr>
          <w:rFonts w:ascii="Century Schoolbook" w:hAnsi="Century Schoolbook"/>
          <w:sz w:val="24"/>
          <w:szCs w:val="24"/>
        </w:rPr>
        <w:t>. Influential Aspects</w:t>
      </w:r>
    </w:p>
    <w:p w:rsidR="00392C08" w:rsidRPr="006C583D" w:rsidRDefault="00F42659" w:rsidP="006C583D">
      <w:pPr>
        <w:pStyle w:val="NoSpacing"/>
        <w:ind w:left="900"/>
        <w:rPr>
          <w:rFonts w:ascii="Century Schoolbook" w:hAnsi="Century Schoolbook"/>
          <w:sz w:val="24"/>
          <w:szCs w:val="24"/>
        </w:rPr>
      </w:pPr>
      <w:r w:rsidRPr="006C583D">
        <w:rPr>
          <w:rFonts w:ascii="Century Schoolbook" w:hAnsi="Century Schoolbook"/>
          <w:sz w:val="24"/>
          <w:szCs w:val="24"/>
        </w:rPr>
        <w:t>Modeling for the Development of Sustainable Strategies in Industrial Case. Proceedings from the 16th International Congress on Project Engineering. Valencia. 2012</w:t>
      </w:r>
    </w:p>
    <w:p w:rsidR="00AF7F06" w:rsidRPr="00AF7F06" w:rsidRDefault="00AF7F06" w:rsidP="00AF7F06">
      <w:pPr>
        <w:autoSpaceDE w:val="0"/>
        <w:autoSpaceDN w:val="0"/>
        <w:adjustRightInd w:val="0"/>
        <w:spacing w:after="0" w:line="240" w:lineRule="auto"/>
        <w:ind w:left="900" w:hanging="900"/>
        <w:jc w:val="both"/>
        <w:rPr>
          <w:rFonts w:ascii="Century Schoolbook" w:hAnsi="Century Schoolbook" w:cs="Times New Roman"/>
          <w:sz w:val="24"/>
          <w:szCs w:val="24"/>
        </w:rPr>
      </w:pPr>
      <w:r w:rsidRPr="00AF7F06">
        <w:rPr>
          <w:rFonts w:ascii="Century Schoolbook" w:hAnsi="Century Schoolbook" w:cs="Times New Roman"/>
          <w:sz w:val="24"/>
          <w:szCs w:val="24"/>
        </w:rPr>
        <w:t>Barnes-Mauthe, M., Oleson, K.L., Zafindrasilivonona, B., 2013. The total economic value of small-scale fisheries with a characterization of post-landing trends: an application in Madagascar with global relevance. Fisheries Research 147, 175-85.</w:t>
      </w:r>
    </w:p>
    <w:p w:rsidR="006C583D" w:rsidRPr="006C583D" w:rsidRDefault="006C583D" w:rsidP="006C583D">
      <w:pPr>
        <w:autoSpaceDE w:val="0"/>
        <w:autoSpaceDN w:val="0"/>
        <w:adjustRightInd w:val="0"/>
        <w:spacing w:after="0" w:line="240" w:lineRule="auto"/>
        <w:ind w:left="900" w:hanging="900"/>
        <w:jc w:val="both"/>
        <w:rPr>
          <w:rFonts w:ascii="Century Schoolbook" w:hAnsi="Century Schoolbook" w:cs="Times New Roman"/>
          <w:sz w:val="24"/>
          <w:szCs w:val="24"/>
        </w:rPr>
      </w:pPr>
      <w:r w:rsidRPr="006C583D">
        <w:rPr>
          <w:rFonts w:ascii="Century Schoolbook" w:hAnsi="Century Schoolbook" w:cs="Times New Roman"/>
          <w:sz w:val="24"/>
          <w:szCs w:val="24"/>
        </w:rPr>
        <w:t>Bene, C., 2006. Small-Scale Fisheries: Assessing their Contribution to Rural Livelihoods in Developing Countries. Food and Agriculture Organization of the United Nations, Rome, Italy.</w:t>
      </w:r>
    </w:p>
    <w:p w:rsidR="00392C08" w:rsidRDefault="00392C08" w:rsidP="00392C08">
      <w:pPr>
        <w:jc w:val="both"/>
        <w:rPr>
          <w:rFonts w:ascii="Century Schoolbook" w:hAnsi="Century Schoolbook" w:cs="Arial"/>
          <w:sz w:val="24"/>
          <w:szCs w:val="24"/>
        </w:rPr>
      </w:pPr>
      <w:r>
        <w:rPr>
          <w:rFonts w:ascii="Century Schoolbook" w:hAnsi="Century Schoolbook" w:cs="Arial"/>
          <w:sz w:val="24"/>
          <w:szCs w:val="24"/>
        </w:rPr>
        <w:t>Fauzi, A. 2017. Teknik Analisis Keberalnjutan. Manuskrip Buku. IPB. Bogor</w:t>
      </w:r>
    </w:p>
    <w:p w:rsidR="00AF7F06" w:rsidRPr="00AF7F06" w:rsidRDefault="00AF7F06" w:rsidP="00AF7F06">
      <w:pPr>
        <w:autoSpaceDE w:val="0"/>
        <w:autoSpaceDN w:val="0"/>
        <w:adjustRightInd w:val="0"/>
        <w:spacing w:after="0" w:line="240" w:lineRule="auto"/>
        <w:ind w:left="900" w:hanging="900"/>
        <w:jc w:val="both"/>
        <w:rPr>
          <w:rFonts w:ascii="Century Schoolbook" w:hAnsi="Century Schoolbook" w:cs="Times New Roman"/>
          <w:sz w:val="24"/>
          <w:szCs w:val="24"/>
        </w:rPr>
      </w:pPr>
      <w:r w:rsidRPr="00AF7F06">
        <w:rPr>
          <w:rFonts w:ascii="Century Schoolbook" w:hAnsi="Century Schoolbook" w:cs="Times New Roman"/>
          <w:sz w:val="24"/>
          <w:szCs w:val="24"/>
        </w:rPr>
        <w:t>Ferrol-Schulte, D., Gorris, P., Baitoningsih, W., Adhuri, D.S., Ferse, S.C.A., 2015. Coastal livelihood vulnerability to marine resource degradation: a review of the Indonesian national coastal and marine policy framework. Marine Policy 52, 163–171.</w:t>
      </w:r>
    </w:p>
    <w:p w:rsidR="006C583D" w:rsidRDefault="00392C08" w:rsidP="006C583D">
      <w:pPr>
        <w:pStyle w:val="NoSpacing"/>
        <w:rPr>
          <w:rFonts w:ascii="Century Schoolbook" w:hAnsi="Century Schoolbook"/>
          <w:sz w:val="24"/>
          <w:szCs w:val="24"/>
        </w:rPr>
      </w:pPr>
      <w:r w:rsidRPr="006C583D">
        <w:rPr>
          <w:rFonts w:ascii="Century Schoolbook" w:hAnsi="Century Schoolbook"/>
          <w:sz w:val="24"/>
          <w:szCs w:val="24"/>
        </w:rPr>
        <w:t>Godet, M., Arcade, J., Meunier, F. &amp; Roubelat, F. 1999. Structural analysis with the</w:t>
      </w:r>
    </w:p>
    <w:p w:rsidR="00392C08" w:rsidRPr="006C583D" w:rsidRDefault="00392C08" w:rsidP="006C583D">
      <w:pPr>
        <w:pStyle w:val="NoSpacing"/>
        <w:ind w:left="720"/>
        <w:rPr>
          <w:rFonts w:ascii="Century Schoolbook" w:hAnsi="Century Schoolbook"/>
          <w:sz w:val="24"/>
          <w:szCs w:val="24"/>
        </w:rPr>
      </w:pPr>
      <w:r w:rsidRPr="006C583D">
        <w:rPr>
          <w:rFonts w:ascii="Century Schoolbook" w:hAnsi="Century Schoolbook"/>
          <w:sz w:val="24"/>
          <w:szCs w:val="24"/>
        </w:rPr>
        <w:t xml:space="preserve"> MICMAC method and Actors' strategy with MACTOR method. </w:t>
      </w:r>
    </w:p>
    <w:p w:rsidR="006C583D" w:rsidRDefault="00392C08" w:rsidP="006C583D">
      <w:pPr>
        <w:pStyle w:val="NoSpacing"/>
        <w:rPr>
          <w:rFonts w:ascii="Century Schoolbook" w:hAnsi="Century Schoolbook" w:cs="Arial"/>
          <w:sz w:val="24"/>
          <w:szCs w:val="24"/>
        </w:rPr>
      </w:pPr>
      <w:r w:rsidRPr="006C583D">
        <w:rPr>
          <w:rFonts w:ascii="Century Schoolbook" w:hAnsi="Century Schoolbook" w:cs="Arial"/>
          <w:sz w:val="24"/>
          <w:szCs w:val="24"/>
        </w:rPr>
        <w:t>Godet, M. &amp; Roubelat, F. 1996. Creating the future: The use and misuse of</w:t>
      </w:r>
    </w:p>
    <w:p w:rsidR="00392C08" w:rsidRPr="006C583D" w:rsidRDefault="00392C08" w:rsidP="006C583D">
      <w:pPr>
        <w:pStyle w:val="NoSpacing"/>
        <w:ind w:left="810"/>
        <w:rPr>
          <w:rFonts w:ascii="Century Schoolbook" w:hAnsi="Century Schoolbook" w:cs="Arial"/>
          <w:sz w:val="24"/>
          <w:szCs w:val="24"/>
        </w:rPr>
      </w:pPr>
      <w:r w:rsidRPr="006C583D">
        <w:rPr>
          <w:rFonts w:ascii="Century Schoolbook" w:hAnsi="Century Schoolbook" w:cs="Arial"/>
          <w:sz w:val="24"/>
          <w:szCs w:val="24"/>
        </w:rPr>
        <w:t>scenarios. Long Range   Planning, 29, 164-171</w:t>
      </w:r>
    </w:p>
    <w:p w:rsidR="006C583D" w:rsidRDefault="00392C08" w:rsidP="006C583D">
      <w:pPr>
        <w:pStyle w:val="NoSpacing"/>
        <w:rPr>
          <w:rFonts w:ascii="Century Schoolbook" w:hAnsi="Century Schoolbook" w:cs="Arial"/>
          <w:sz w:val="24"/>
          <w:szCs w:val="24"/>
        </w:rPr>
      </w:pPr>
      <w:r w:rsidRPr="006C583D">
        <w:rPr>
          <w:rFonts w:ascii="Century Schoolbook" w:hAnsi="Century Schoolbook" w:cs="Arial"/>
          <w:sz w:val="24"/>
          <w:szCs w:val="24"/>
        </w:rPr>
        <w:t xml:space="preserve">Godet, M. 2006. Creating futures: scenario planning as a strategic management </w:t>
      </w:r>
    </w:p>
    <w:p w:rsidR="00392C08" w:rsidRPr="006C583D" w:rsidRDefault="00392C08" w:rsidP="006C583D">
      <w:pPr>
        <w:pStyle w:val="NoSpacing"/>
        <w:ind w:left="810"/>
        <w:rPr>
          <w:rFonts w:ascii="Century Schoolbook" w:hAnsi="Century Schoolbook" w:cs="Arial"/>
          <w:sz w:val="24"/>
          <w:szCs w:val="24"/>
        </w:rPr>
      </w:pPr>
      <w:r w:rsidRPr="006C583D">
        <w:rPr>
          <w:rFonts w:ascii="Century Schoolbook" w:hAnsi="Century Schoolbook" w:cs="Arial"/>
          <w:sz w:val="24"/>
          <w:szCs w:val="24"/>
        </w:rPr>
        <w:t>tool, London,   Economica</w:t>
      </w:r>
    </w:p>
    <w:p w:rsidR="006C583D" w:rsidRDefault="006C583D" w:rsidP="00AF7F06">
      <w:pPr>
        <w:pStyle w:val="NoSpacing"/>
        <w:rPr>
          <w:rFonts w:ascii="Century Schoolbook" w:hAnsi="Century Schoolbook"/>
          <w:sz w:val="24"/>
          <w:szCs w:val="24"/>
        </w:rPr>
      </w:pPr>
      <w:r w:rsidRPr="006C583D">
        <w:rPr>
          <w:rFonts w:ascii="Century Schoolbook" w:hAnsi="Century Schoolbook" w:cs="Arial"/>
          <w:sz w:val="24"/>
          <w:szCs w:val="24"/>
        </w:rPr>
        <w:t xml:space="preserve">Paulus, C.A. 2016. </w:t>
      </w:r>
      <w:r w:rsidRPr="006C583D">
        <w:rPr>
          <w:rFonts w:ascii="Century Schoolbook" w:hAnsi="Century Schoolbook"/>
          <w:sz w:val="24"/>
          <w:szCs w:val="24"/>
        </w:rPr>
        <w:t>The Development of Sustainable Livelihoods for Peasant-Fisher</w:t>
      </w:r>
    </w:p>
    <w:p w:rsidR="006C583D" w:rsidRPr="006C583D" w:rsidRDefault="006C583D" w:rsidP="006C583D">
      <w:pPr>
        <w:pStyle w:val="NoSpacing"/>
        <w:ind w:left="810"/>
        <w:rPr>
          <w:rFonts w:ascii="Century Schoolbook" w:hAnsi="Century Schoolbook"/>
          <w:sz w:val="24"/>
          <w:szCs w:val="24"/>
        </w:rPr>
      </w:pPr>
      <w:r w:rsidRPr="006C583D">
        <w:rPr>
          <w:rFonts w:ascii="Century Schoolbook" w:hAnsi="Century Schoolbook"/>
          <w:sz w:val="24"/>
          <w:szCs w:val="24"/>
        </w:rPr>
        <w:t>in Rote Island East Nusa Tenggara</w:t>
      </w:r>
    </w:p>
    <w:p w:rsidR="006C583D" w:rsidRDefault="006C583D" w:rsidP="006C583D">
      <w:pPr>
        <w:pStyle w:val="NoSpacing"/>
        <w:rPr>
          <w:rFonts w:ascii="Century Schoolbook" w:hAnsi="Century Schoolbook" w:cs="Times New Roman"/>
          <w:sz w:val="24"/>
          <w:szCs w:val="24"/>
        </w:rPr>
      </w:pPr>
      <w:r w:rsidRPr="006C583D">
        <w:rPr>
          <w:rFonts w:ascii="Century Schoolbook" w:hAnsi="Century Schoolbook" w:cs="Times New Roman"/>
          <w:sz w:val="24"/>
          <w:szCs w:val="24"/>
        </w:rPr>
        <w:t>Sievanen, L., 2014. How do small-scale fishers adapt to environmental variability?</w:t>
      </w:r>
    </w:p>
    <w:p w:rsidR="006C583D" w:rsidRPr="006C583D" w:rsidRDefault="006C583D" w:rsidP="006C583D">
      <w:pPr>
        <w:pStyle w:val="NoSpacing"/>
        <w:ind w:left="810"/>
        <w:rPr>
          <w:rFonts w:ascii="Century Schoolbook" w:hAnsi="Century Schoolbook" w:cs="Times New Roman"/>
          <w:sz w:val="24"/>
          <w:szCs w:val="24"/>
        </w:rPr>
      </w:pPr>
      <w:r w:rsidRPr="006C583D">
        <w:rPr>
          <w:rFonts w:ascii="Century Schoolbook" w:hAnsi="Century Schoolbook" w:cs="Times New Roman"/>
          <w:sz w:val="24"/>
          <w:szCs w:val="24"/>
        </w:rPr>
        <w:t>Lessons from Baja California, Sur, Mexico. Maritime Studies 13, 1-19.</w:t>
      </w:r>
    </w:p>
    <w:p w:rsidR="00AF7F06" w:rsidRDefault="00392C08" w:rsidP="006C583D">
      <w:pPr>
        <w:pStyle w:val="NoSpacing"/>
        <w:rPr>
          <w:rFonts w:ascii="Century Schoolbook" w:hAnsi="Century Schoolbook" w:cs="Arial"/>
          <w:sz w:val="24"/>
          <w:szCs w:val="24"/>
        </w:rPr>
      </w:pPr>
      <w:r w:rsidRPr="006C583D">
        <w:rPr>
          <w:rFonts w:ascii="Century Schoolbook" w:hAnsi="Century Schoolbook" w:cs="Arial"/>
          <w:sz w:val="24"/>
          <w:szCs w:val="24"/>
        </w:rPr>
        <w:t>Vetmeyer, J., and O. Sahin. 2014. Modelling climate change adaptation using cross</w:t>
      </w:r>
      <w:r w:rsidR="00AF7F06">
        <w:rPr>
          <w:rFonts w:ascii="Century Schoolbook" w:hAnsi="Century Schoolbook" w:cs="Arial"/>
          <w:sz w:val="24"/>
          <w:szCs w:val="24"/>
        </w:rPr>
        <w:t>-</w:t>
      </w:r>
    </w:p>
    <w:p w:rsidR="00392C08" w:rsidRDefault="00392C08" w:rsidP="00992F77">
      <w:pPr>
        <w:pStyle w:val="NoSpacing"/>
        <w:ind w:left="900"/>
        <w:rPr>
          <w:rFonts w:ascii="Century Schoolbook" w:hAnsi="Century Schoolbook" w:cs="Arial"/>
          <w:sz w:val="24"/>
          <w:szCs w:val="24"/>
        </w:rPr>
      </w:pPr>
      <w:r w:rsidRPr="006C583D">
        <w:rPr>
          <w:rFonts w:ascii="Century Schoolbook" w:hAnsi="Century Schoolbook" w:cs="Arial"/>
          <w:sz w:val="24"/>
          <w:szCs w:val="24"/>
        </w:rPr>
        <w:t>impact analysis: an approach for integrating qualitative and quantitative data. Proceeding of International Environmental Modelling and Software Society (iEMSs). San Diego, CA. USA</w:t>
      </w:r>
    </w:p>
    <w:p w:rsidR="00392C08" w:rsidRDefault="00392C08" w:rsidP="003F2895">
      <w:pPr>
        <w:jc w:val="center"/>
        <w:rPr>
          <w:rFonts w:ascii="Century Schoolbook" w:hAnsi="Century Schoolbook" w:cs="Arial"/>
          <w:sz w:val="24"/>
          <w:szCs w:val="24"/>
        </w:rPr>
      </w:pPr>
    </w:p>
    <w:p w:rsidR="003F2895" w:rsidRPr="002E0A6F" w:rsidRDefault="003F2895" w:rsidP="00392C08">
      <w:pPr>
        <w:rPr>
          <w:rFonts w:ascii="Century Schoolbook" w:hAnsi="Century Schoolbook" w:cs="Arial"/>
          <w:sz w:val="24"/>
          <w:szCs w:val="24"/>
        </w:rPr>
      </w:pPr>
    </w:p>
    <w:sectPr w:rsidR="003F2895" w:rsidRPr="002E0A6F" w:rsidSect="008038CB">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BFE" w:rsidRDefault="00322BFE" w:rsidP="00CF35BF">
      <w:pPr>
        <w:spacing w:after="0" w:line="240" w:lineRule="auto"/>
      </w:pPr>
      <w:r>
        <w:separator/>
      </w:r>
    </w:p>
  </w:endnote>
  <w:endnote w:type="continuationSeparator" w:id="1">
    <w:p w:rsidR="00322BFE" w:rsidRDefault="00322BFE" w:rsidP="00CF35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8414502"/>
      <w:docPartObj>
        <w:docPartGallery w:val="Page Numbers (Bottom of Page)"/>
        <w:docPartUnique/>
      </w:docPartObj>
    </w:sdtPr>
    <w:sdtEndPr>
      <w:rPr>
        <w:noProof/>
      </w:rPr>
    </w:sdtEndPr>
    <w:sdtContent>
      <w:p w:rsidR="00CF35BF" w:rsidRDefault="008038CB">
        <w:pPr>
          <w:pStyle w:val="Footer"/>
          <w:jc w:val="right"/>
        </w:pPr>
        <w:r w:rsidRPr="00992F77">
          <w:rPr>
            <w:rFonts w:ascii="Century Schoolbook" w:hAnsi="Century Schoolbook"/>
          </w:rPr>
          <w:fldChar w:fldCharType="begin"/>
        </w:r>
        <w:r w:rsidR="00CF35BF" w:rsidRPr="00992F77">
          <w:rPr>
            <w:rFonts w:ascii="Century Schoolbook" w:hAnsi="Century Schoolbook"/>
          </w:rPr>
          <w:instrText xml:space="preserve"> PAGE   \* MERGEFORMAT </w:instrText>
        </w:r>
        <w:r w:rsidRPr="00992F77">
          <w:rPr>
            <w:rFonts w:ascii="Century Schoolbook" w:hAnsi="Century Schoolbook"/>
          </w:rPr>
          <w:fldChar w:fldCharType="separate"/>
        </w:r>
        <w:r w:rsidR="00322BFE">
          <w:rPr>
            <w:rFonts w:ascii="Century Schoolbook" w:hAnsi="Century Schoolbook"/>
            <w:noProof/>
          </w:rPr>
          <w:t>1</w:t>
        </w:r>
        <w:r w:rsidRPr="00992F77">
          <w:rPr>
            <w:rFonts w:ascii="Century Schoolbook" w:hAnsi="Century Schoolbook"/>
            <w:noProof/>
          </w:rPr>
          <w:fldChar w:fldCharType="end"/>
        </w:r>
      </w:p>
    </w:sdtContent>
  </w:sdt>
  <w:p w:rsidR="00CF35BF" w:rsidRDefault="00CF35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BFE" w:rsidRDefault="00322BFE" w:rsidP="00CF35BF">
      <w:pPr>
        <w:spacing w:after="0" w:line="240" w:lineRule="auto"/>
      </w:pPr>
      <w:r>
        <w:separator/>
      </w:r>
    </w:p>
  </w:footnote>
  <w:footnote w:type="continuationSeparator" w:id="1">
    <w:p w:rsidR="00322BFE" w:rsidRDefault="00322BFE" w:rsidP="00CF35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73E10"/>
    <w:multiLevelType w:val="hybridMultilevel"/>
    <w:tmpl w:val="478C1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7DC117E"/>
    <w:multiLevelType w:val="hybridMultilevel"/>
    <w:tmpl w:val="62A85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C1914BA"/>
    <w:multiLevelType w:val="hybridMultilevel"/>
    <w:tmpl w:val="8BFCB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2C80413"/>
    <w:multiLevelType w:val="hybridMultilevel"/>
    <w:tmpl w:val="1A98A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CC1792"/>
    <w:multiLevelType w:val="multilevel"/>
    <w:tmpl w:val="1A98A5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CAC474D"/>
    <w:multiLevelType w:val="hybridMultilevel"/>
    <w:tmpl w:val="48A424F2"/>
    <w:lvl w:ilvl="0" w:tplc="B1164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E937CD"/>
    <w:multiLevelType w:val="hybridMultilevel"/>
    <w:tmpl w:val="061262B8"/>
    <w:lvl w:ilvl="0" w:tplc="EDCC5D9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4"/>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footnotePr>
    <w:footnote w:id="0"/>
    <w:footnote w:id="1"/>
  </w:footnotePr>
  <w:endnotePr>
    <w:endnote w:id="0"/>
    <w:endnote w:id="1"/>
  </w:endnotePr>
  <w:compat/>
  <w:rsids>
    <w:rsidRoot w:val="00150E93"/>
    <w:rsid w:val="000273D4"/>
    <w:rsid w:val="00053992"/>
    <w:rsid w:val="00096D19"/>
    <w:rsid w:val="00150E93"/>
    <w:rsid w:val="00152135"/>
    <w:rsid w:val="00182A59"/>
    <w:rsid w:val="00195985"/>
    <w:rsid w:val="001C5B1F"/>
    <w:rsid w:val="001D7B7A"/>
    <w:rsid w:val="002E0A6F"/>
    <w:rsid w:val="002E63F2"/>
    <w:rsid w:val="002F3C5D"/>
    <w:rsid w:val="00322BFE"/>
    <w:rsid w:val="00392C08"/>
    <w:rsid w:val="00394418"/>
    <w:rsid w:val="003F2895"/>
    <w:rsid w:val="0045529A"/>
    <w:rsid w:val="00477140"/>
    <w:rsid w:val="005625DB"/>
    <w:rsid w:val="005651D6"/>
    <w:rsid w:val="005B626D"/>
    <w:rsid w:val="006C583D"/>
    <w:rsid w:val="008038CB"/>
    <w:rsid w:val="00813734"/>
    <w:rsid w:val="008613CF"/>
    <w:rsid w:val="00934A92"/>
    <w:rsid w:val="00992F77"/>
    <w:rsid w:val="009D7B8D"/>
    <w:rsid w:val="00A24A03"/>
    <w:rsid w:val="00AF77A1"/>
    <w:rsid w:val="00AF7F06"/>
    <w:rsid w:val="00B4389F"/>
    <w:rsid w:val="00BA5E98"/>
    <w:rsid w:val="00C201C0"/>
    <w:rsid w:val="00CA1B5C"/>
    <w:rsid w:val="00CF35BF"/>
    <w:rsid w:val="00D615CB"/>
    <w:rsid w:val="00D71255"/>
    <w:rsid w:val="00D85601"/>
    <w:rsid w:val="00E00036"/>
    <w:rsid w:val="00E41ADF"/>
    <w:rsid w:val="00E777A8"/>
    <w:rsid w:val="00E80F93"/>
    <w:rsid w:val="00E9168D"/>
    <w:rsid w:val="00F24073"/>
    <w:rsid w:val="00F42659"/>
    <w:rsid w:val="00F4371D"/>
    <w:rsid w:val="00F57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8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5E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5E98"/>
    <w:pPr>
      <w:ind w:left="720"/>
      <w:contextualSpacing/>
    </w:pPr>
  </w:style>
  <w:style w:type="paragraph" w:styleId="Header">
    <w:name w:val="header"/>
    <w:basedOn w:val="Normal"/>
    <w:link w:val="HeaderChar"/>
    <w:uiPriority w:val="99"/>
    <w:unhideWhenUsed/>
    <w:rsid w:val="00CF35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5BF"/>
  </w:style>
  <w:style w:type="paragraph" w:styleId="Footer">
    <w:name w:val="footer"/>
    <w:basedOn w:val="Normal"/>
    <w:link w:val="FooterChar"/>
    <w:uiPriority w:val="99"/>
    <w:unhideWhenUsed/>
    <w:rsid w:val="00CF35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5BF"/>
  </w:style>
  <w:style w:type="paragraph" w:styleId="NoSpacing">
    <w:name w:val="No Spacing"/>
    <w:uiPriority w:val="1"/>
    <w:qFormat/>
    <w:rsid w:val="006C583D"/>
    <w:pPr>
      <w:spacing w:after="0" w:line="240" w:lineRule="auto"/>
    </w:pPr>
  </w:style>
  <w:style w:type="paragraph" w:styleId="BalloonText">
    <w:name w:val="Balloon Text"/>
    <w:basedOn w:val="Normal"/>
    <w:link w:val="BalloonTextChar"/>
    <w:uiPriority w:val="99"/>
    <w:semiHidden/>
    <w:unhideWhenUsed/>
    <w:rsid w:val="00992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F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2516</Words>
  <Characters>14343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Akhmad Fauzi</dc:creator>
  <cp:lastModifiedBy>Chaterina</cp:lastModifiedBy>
  <cp:revision>2</cp:revision>
  <dcterms:created xsi:type="dcterms:W3CDTF">2017-06-28T19:59:00Z</dcterms:created>
  <dcterms:modified xsi:type="dcterms:W3CDTF">2017-06-28T19:59:00Z</dcterms:modified>
</cp:coreProperties>
</file>