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6553B" w14:textId="65DC5681" w:rsidR="00EA6C3C" w:rsidRDefault="00216718" w:rsidP="00961EDA">
      <w:pPr>
        <w:pStyle w:val="Title"/>
        <w:spacing w:after="0"/>
        <w:rPr>
          <w:rFonts w:ascii="Arial" w:hAnsi="Arial" w:cs="Arial"/>
          <w:bCs/>
          <w:sz w:val="28"/>
          <w:szCs w:val="28"/>
          <w:lang w:val="en-ID"/>
        </w:rPr>
      </w:pPr>
      <w:r w:rsidRPr="00216718">
        <w:rPr>
          <w:rFonts w:ascii="Arial" w:hAnsi="Arial" w:cs="Arial"/>
          <w:bCs/>
          <w:sz w:val="28"/>
          <w:szCs w:val="28"/>
          <w:lang w:val="en-ID"/>
        </w:rPr>
        <w:t>Uji Efek Penurunan Glukosa Darah Dapagliflozin Monoterapi Dan Kombinasi Dengan Glucose Lowering Agent Lainnya</w:t>
      </w:r>
      <w:r>
        <w:rPr>
          <w:rFonts w:ascii="Arial" w:hAnsi="Arial" w:cs="Arial"/>
          <w:bCs/>
          <w:sz w:val="28"/>
          <w:szCs w:val="28"/>
          <w:lang w:val="en-ID"/>
        </w:rPr>
        <w:t xml:space="preserve"> </w:t>
      </w:r>
    </w:p>
    <w:p w14:paraId="50EF6FC6" w14:textId="77777777" w:rsidR="00216718" w:rsidRPr="00E34364" w:rsidRDefault="00216718" w:rsidP="00961EDA">
      <w:pPr>
        <w:pStyle w:val="Title"/>
        <w:spacing w:after="0"/>
        <w:rPr>
          <w:rFonts w:ascii="Arial" w:hAnsi="Arial" w:cs="Arial"/>
          <w:sz w:val="28"/>
          <w:szCs w:val="28"/>
        </w:rPr>
      </w:pPr>
    </w:p>
    <w:p w14:paraId="41E59430" w14:textId="3B21BCDE" w:rsidR="00D726AF" w:rsidRPr="00E64FED" w:rsidRDefault="00216718" w:rsidP="00961EDA">
      <w:pPr>
        <w:pStyle w:val="Title"/>
        <w:spacing w:after="0"/>
        <w:rPr>
          <w:rFonts w:ascii="Arial" w:hAnsi="Arial" w:cs="Arial"/>
          <w:bCs/>
          <w:sz w:val="28"/>
          <w:szCs w:val="28"/>
          <w:lang w:val="en-ID"/>
        </w:rPr>
      </w:pPr>
      <w:r w:rsidRPr="00E64FED">
        <w:rPr>
          <w:rFonts w:ascii="Arial" w:hAnsi="Arial" w:cs="Arial"/>
          <w:bCs/>
          <w:sz w:val="28"/>
          <w:szCs w:val="28"/>
          <w:lang w:val="en-ID"/>
        </w:rPr>
        <w:t>Testing The Effect Of Blood Glucose-Lowering Dapagliflozine Monotherapy And Combination With Other Glucose Lowering Agents</w:t>
      </w:r>
    </w:p>
    <w:p w14:paraId="1857702F" w14:textId="77777777" w:rsidR="00216718" w:rsidRPr="00992285" w:rsidRDefault="00216718" w:rsidP="00961EDA">
      <w:pPr>
        <w:pStyle w:val="Title"/>
        <w:spacing w:after="0"/>
      </w:pPr>
    </w:p>
    <w:p w14:paraId="1F72CBAF" w14:textId="0388E522" w:rsidR="00EA6C3C" w:rsidRPr="00EA6C3C" w:rsidRDefault="00216718" w:rsidP="00EA6C3C">
      <w:pPr>
        <w:pStyle w:val="Afiliasi"/>
        <w:tabs>
          <w:tab w:val="left" w:pos="1014"/>
          <w:tab w:val="center" w:pos="4820"/>
        </w:tabs>
        <w:spacing w:before="0" w:after="0"/>
        <w:contextualSpacing w:val="0"/>
        <w:rPr>
          <w:rFonts w:ascii="Times New Roman" w:hAnsi="Times New Roman"/>
          <w:b/>
          <w:noProof w:val="0"/>
          <w:lang w:val="en-US"/>
        </w:rPr>
      </w:pPr>
      <w:r>
        <w:rPr>
          <w:rFonts w:ascii="Times New Roman" w:hAnsi="Times New Roman"/>
          <w:b/>
          <w:noProof w:val="0"/>
          <w:lang w:val="en-US"/>
        </w:rPr>
        <w:t>Almas Amalul Fasha</w:t>
      </w:r>
      <w:r w:rsidR="001A62AB" w:rsidRPr="001A62AB">
        <w:rPr>
          <w:rFonts w:ascii="Times New Roman" w:hAnsi="Times New Roman"/>
          <w:b/>
          <w:noProof w:val="0"/>
          <w:vertAlign w:val="superscript"/>
          <w:lang w:val="en-US"/>
        </w:rPr>
        <w:t>1*</w:t>
      </w:r>
      <w:r w:rsidR="001A62AB" w:rsidRPr="001A62AB">
        <w:rPr>
          <w:rFonts w:ascii="Times New Roman" w:hAnsi="Times New Roman"/>
          <w:b/>
          <w:noProof w:val="0"/>
          <w:lang w:val="en-US"/>
        </w:rPr>
        <w:t xml:space="preserve">, </w:t>
      </w:r>
      <w:r>
        <w:rPr>
          <w:rFonts w:ascii="Times New Roman" w:hAnsi="Times New Roman"/>
          <w:b/>
          <w:noProof w:val="0"/>
          <w:lang w:val="en-US"/>
        </w:rPr>
        <w:t xml:space="preserve">Ikhwan </w:t>
      </w:r>
      <w:proofErr w:type="spellStart"/>
      <w:r>
        <w:rPr>
          <w:rFonts w:ascii="Times New Roman" w:hAnsi="Times New Roman"/>
          <w:b/>
          <w:noProof w:val="0"/>
          <w:lang w:val="en-US"/>
        </w:rPr>
        <w:t>Yuda</w:t>
      </w:r>
      <w:proofErr w:type="spellEnd"/>
      <w:r>
        <w:rPr>
          <w:rFonts w:ascii="Times New Roman" w:hAnsi="Times New Roman"/>
          <w:b/>
          <w:noProof w:val="0"/>
          <w:lang w:val="en-US"/>
        </w:rPr>
        <w:t xml:space="preserve"> Kusuma</w:t>
      </w:r>
      <w:r w:rsidR="001A62AB" w:rsidRPr="001A62AB">
        <w:rPr>
          <w:rFonts w:ascii="Times New Roman" w:hAnsi="Times New Roman"/>
          <w:b/>
          <w:noProof w:val="0"/>
          <w:vertAlign w:val="superscript"/>
          <w:lang w:val="en-US"/>
        </w:rPr>
        <w:t>2</w:t>
      </w:r>
      <w:r>
        <w:rPr>
          <w:rFonts w:ascii="Times New Roman" w:hAnsi="Times New Roman"/>
          <w:b/>
          <w:noProof w:val="0"/>
          <w:vertAlign w:val="superscript"/>
          <w:lang w:val="en-US"/>
        </w:rPr>
        <w:t>*</w:t>
      </w:r>
      <w:r>
        <w:rPr>
          <w:rFonts w:ascii="Times New Roman" w:hAnsi="Times New Roman"/>
          <w:b/>
          <w:noProof w:val="0"/>
          <w:lang w:val="en-US"/>
        </w:rPr>
        <w:t xml:space="preserve">, </w:t>
      </w:r>
      <w:proofErr w:type="spellStart"/>
      <w:r>
        <w:rPr>
          <w:rFonts w:ascii="Times New Roman" w:hAnsi="Times New Roman"/>
          <w:b/>
          <w:noProof w:val="0"/>
          <w:lang w:val="en-US"/>
        </w:rPr>
        <w:t>Galih</w:t>
      </w:r>
      <w:proofErr w:type="spellEnd"/>
      <w:r>
        <w:rPr>
          <w:rFonts w:ascii="Times New Roman" w:hAnsi="Times New Roman"/>
          <w:b/>
          <w:noProof w:val="0"/>
          <w:lang w:val="en-US"/>
        </w:rPr>
        <w:t xml:space="preserve"> Samodra</w:t>
      </w:r>
      <w:r w:rsidRPr="00216718">
        <w:rPr>
          <w:rFonts w:ascii="Times New Roman" w:hAnsi="Times New Roman"/>
          <w:b/>
          <w:noProof w:val="0"/>
          <w:vertAlign w:val="superscript"/>
          <w:lang w:val="en-US"/>
        </w:rPr>
        <w:t>3</w:t>
      </w:r>
      <w:r>
        <w:rPr>
          <w:rFonts w:ascii="Times New Roman" w:hAnsi="Times New Roman"/>
          <w:b/>
          <w:noProof w:val="0"/>
          <w:vertAlign w:val="superscript"/>
          <w:lang w:val="en-US"/>
        </w:rPr>
        <w:t>*</w:t>
      </w:r>
    </w:p>
    <w:p w14:paraId="1F730819" w14:textId="77777777" w:rsidR="00216718" w:rsidRDefault="00216718" w:rsidP="00EA6C3C">
      <w:pPr>
        <w:pStyle w:val="Afiliasi"/>
        <w:tabs>
          <w:tab w:val="left" w:pos="1014"/>
          <w:tab w:val="center" w:pos="4820"/>
        </w:tabs>
        <w:spacing w:before="0" w:after="0"/>
        <w:contextualSpacing w:val="0"/>
        <w:rPr>
          <w:rFonts w:ascii="Times New Roman" w:hAnsi="Times New Roman"/>
          <w:noProof w:val="0"/>
        </w:rPr>
      </w:pPr>
      <w:r w:rsidRPr="00216718">
        <w:rPr>
          <w:rFonts w:ascii="Times New Roman" w:hAnsi="Times New Roman"/>
          <w:noProof w:val="0"/>
          <w:lang w:val="en-US"/>
        </w:rPr>
        <w:t xml:space="preserve">Universitas Harapan </w:t>
      </w:r>
      <w:proofErr w:type="spellStart"/>
      <w:r w:rsidRPr="00216718">
        <w:rPr>
          <w:rFonts w:ascii="Times New Roman" w:hAnsi="Times New Roman"/>
          <w:noProof w:val="0"/>
          <w:lang w:val="en-US"/>
        </w:rPr>
        <w:t>Bangsa</w:t>
      </w:r>
      <w:proofErr w:type="spellEnd"/>
      <w:r w:rsidRPr="00216718">
        <w:rPr>
          <w:rFonts w:ascii="Times New Roman" w:hAnsi="Times New Roman"/>
          <w:noProof w:val="0"/>
          <w:lang w:val="en-US"/>
        </w:rPr>
        <w:t xml:space="preserve"> </w:t>
      </w:r>
      <w:proofErr w:type="spellStart"/>
      <w:r w:rsidRPr="00216718">
        <w:rPr>
          <w:rFonts w:ascii="Times New Roman" w:hAnsi="Times New Roman"/>
          <w:noProof w:val="0"/>
          <w:lang w:val="en-US"/>
        </w:rPr>
        <w:t>Purwokerto</w:t>
      </w:r>
      <w:proofErr w:type="spellEnd"/>
      <w:r w:rsidRPr="00216718">
        <w:rPr>
          <w:rFonts w:ascii="Times New Roman" w:hAnsi="Times New Roman"/>
          <w:noProof w:val="0"/>
          <w:lang w:val="en-US"/>
        </w:rPr>
        <w:t xml:space="preserve">, Jl. Raden </w:t>
      </w:r>
      <w:proofErr w:type="spellStart"/>
      <w:r w:rsidRPr="00216718">
        <w:rPr>
          <w:rFonts w:ascii="Times New Roman" w:hAnsi="Times New Roman"/>
          <w:noProof w:val="0"/>
          <w:lang w:val="en-US"/>
        </w:rPr>
        <w:t>Patah</w:t>
      </w:r>
      <w:proofErr w:type="spellEnd"/>
      <w:r w:rsidRPr="00216718">
        <w:rPr>
          <w:rFonts w:ascii="Times New Roman" w:hAnsi="Times New Roman"/>
          <w:noProof w:val="0"/>
          <w:lang w:val="en-US"/>
        </w:rPr>
        <w:t xml:space="preserve"> No. 100, </w:t>
      </w:r>
      <w:proofErr w:type="spellStart"/>
      <w:r w:rsidRPr="00216718">
        <w:rPr>
          <w:rFonts w:ascii="Times New Roman" w:hAnsi="Times New Roman"/>
          <w:noProof w:val="0"/>
          <w:lang w:val="en-US"/>
        </w:rPr>
        <w:t>Kedunglongsir</w:t>
      </w:r>
      <w:proofErr w:type="spellEnd"/>
      <w:r w:rsidRPr="00216718">
        <w:rPr>
          <w:rFonts w:ascii="Times New Roman" w:hAnsi="Times New Roman"/>
          <w:noProof w:val="0"/>
          <w:lang w:val="en-US"/>
        </w:rPr>
        <w:t xml:space="preserve">, </w:t>
      </w:r>
      <w:proofErr w:type="spellStart"/>
      <w:r w:rsidRPr="00216718">
        <w:rPr>
          <w:rFonts w:ascii="Times New Roman" w:hAnsi="Times New Roman"/>
          <w:noProof w:val="0"/>
          <w:lang w:val="en-US"/>
        </w:rPr>
        <w:t>Ledug</w:t>
      </w:r>
      <w:proofErr w:type="spellEnd"/>
      <w:r w:rsidRPr="00216718">
        <w:rPr>
          <w:rFonts w:ascii="Times New Roman" w:hAnsi="Times New Roman"/>
          <w:noProof w:val="0"/>
          <w:lang w:val="en-US"/>
        </w:rPr>
        <w:t xml:space="preserve">, </w:t>
      </w:r>
      <w:proofErr w:type="spellStart"/>
      <w:r w:rsidRPr="00216718">
        <w:rPr>
          <w:rFonts w:ascii="Times New Roman" w:hAnsi="Times New Roman"/>
          <w:noProof w:val="0"/>
          <w:lang w:val="en-US"/>
        </w:rPr>
        <w:t>Kecamatan</w:t>
      </w:r>
      <w:proofErr w:type="spellEnd"/>
      <w:r w:rsidRPr="00216718">
        <w:rPr>
          <w:rFonts w:ascii="Times New Roman" w:hAnsi="Times New Roman"/>
          <w:noProof w:val="0"/>
          <w:lang w:val="en-US"/>
        </w:rPr>
        <w:t xml:space="preserve"> </w:t>
      </w:r>
      <w:proofErr w:type="spellStart"/>
      <w:r w:rsidRPr="00216718">
        <w:rPr>
          <w:rFonts w:ascii="Times New Roman" w:hAnsi="Times New Roman"/>
          <w:noProof w:val="0"/>
          <w:lang w:val="en-US"/>
        </w:rPr>
        <w:t>Kembaran</w:t>
      </w:r>
      <w:proofErr w:type="spellEnd"/>
      <w:r w:rsidRPr="00216718">
        <w:rPr>
          <w:rFonts w:ascii="Times New Roman" w:hAnsi="Times New Roman"/>
          <w:noProof w:val="0"/>
          <w:lang w:val="en-US"/>
        </w:rPr>
        <w:t xml:space="preserve">, </w:t>
      </w:r>
      <w:proofErr w:type="spellStart"/>
      <w:r w:rsidRPr="00216718">
        <w:rPr>
          <w:rFonts w:ascii="Times New Roman" w:hAnsi="Times New Roman"/>
          <w:noProof w:val="0"/>
          <w:lang w:val="en-US"/>
        </w:rPr>
        <w:t>Kabupaten</w:t>
      </w:r>
      <w:proofErr w:type="spellEnd"/>
      <w:r w:rsidRPr="00216718">
        <w:rPr>
          <w:rFonts w:ascii="Times New Roman" w:hAnsi="Times New Roman"/>
          <w:noProof w:val="0"/>
          <w:lang w:val="en-US"/>
        </w:rPr>
        <w:t xml:space="preserve"> </w:t>
      </w:r>
      <w:proofErr w:type="spellStart"/>
      <w:r w:rsidRPr="00216718">
        <w:rPr>
          <w:rFonts w:ascii="Times New Roman" w:hAnsi="Times New Roman"/>
          <w:noProof w:val="0"/>
          <w:lang w:val="en-US"/>
        </w:rPr>
        <w:t>Banyumas</w:t>
      </w:r>
      <w:proofErr w:type="spellEnd"/>
      <w:r w:rsidRPr="00216718">
        <w:rPr>
          <w:rFonts w:ascii="Times New Roman" w:hAnsi="Times New Roman"/>
          <w:noProof w:val="0"/>
          <w:lang w:val="en-US"/>
        </w:rPr>
        <w:t xml:space="preserve">, </w:t>
      </w:r>
      <w:proofErr w:type="spellStart"/>
      <w:r w:rsidRPr="00216718">
        <w:rPr>
          <w:rFonts w:ascii="Times New Roman" w:hAnsi="Times New Roman"/>
          <w:noProof w:val="0"/>
          <w:lang w:val="en-US"/>
        </w:rPr>
        <w:t>Jawa</w:t>
      </w:r>
      <w:proofErr w:type="spellEnd"/>
      <w:r w:rsidRPr="00216718">
        <w:rPr>
          <w:rFonts w:ascii="Times New Roman" w:hAnsi="Times New Roman"/>
          <w:noProof w:val="0"/>
          <w:lang w:val="en-US"/>
        </w:rPr>
        <w:t xml:space="preserve"> Tengah 53182, Indonesia</w:t>
      </w:r>
    </w:p>
    <w:p w14:paraId="3290B641" w14:textId="28CFB7FE" w:rsidR="00EA6C3C" w:rsidRPr="00E64FED" w:rsidRDefault="00EA6C3C" w:rsidP="00EA6C3C">
      <w:pPr>
        <w:pStyle w:val="Afiliasi"/>
        <w:tabs>
          <w:tab w:val="left" w:pos="1014"/>
          <w:tab w:val="center" w:pos="4820"/>
        </w:tabs>
        <w:spacing w:before="0" w:after="0"/>
        <w:contextualSpacing w:val="0"/>
        <w:rPr>
          <w:rStyle w:val="Hyperlink"/>
          <w:rFonts w:ascii="Times New Roman" w:hAnsi="Times New Roman"/>
          <w:noProof w:val="0"/>
          <w:color w:val="auto"/>
          <w:u w:val="none"/>
          <w:lang w:val="en-US"/>
        </w:rPr>
      </w:pPr>
      <w:r w:rsidRPr="00EA6C3C">
        <w:rPr>
          <w:rFonts w:ascii="Times New Roman" w:hAnsi="Times New Roman"/>
          <w:noProof w:val="0"/>
        </w:rPr>
        <w:t xml:space="preserve">*E-mail: </w:t>
      </w:r>
      <w:hyperlink r:id="rId8" w:history="1">
        <w:r w:rsidR="00216718">
          <w:rPr>
            <w:rStyle w:val="Hyperlink"/>
            <w:rFonts w:ascii="Times New Roman" w:hAnsi="Times New Roman"/>
            <w:noProof w:val="0"/>
            <w:lang w:val="en-US"/>
          </w:rPr>
          <w:t>alma</w:t>
        </w:r>
        <w:r w:rsidR="001A62AB" w:rsidRPr="00A90645">
          <w:rPr>
            <w:rStyle w:val="Hyperlink"/>
            <w:rFonts w:ascii="Times New Roman" w:hAnsi="Times New Roman"/>
            <w:noProof w:val="0"/>
          </w:rPr>
          <w:t>s</w:t>
        </w:r>
      </w:hyperlink>
      <w:r w:rsidR="00E64FED">
        <w:rPr>
          <w:rStyle w:val="Hyperlink"/>
          <w:rFonts w:ascii="Times New Roman" w:hAnsi="Times New Roman"/>
          <w:noProof w:val="0"/>
          <w:lang w:val="en-US"/>
        </w:rPr>
        <w:t>amalul@gmail.com</w:t>
      </w:r>
    </w:p>
    <w:p w14:paraId="74ACB6F3" w14:textId="28F87DEB" w:rsidR="00241118" w:rsidRPr="00216718" w:rsidRDefault="00216718" w:rsidP="00961EDA">
      <w:pPr>
        <w:pStyle w:val="Afiliasi"/>
        <w:spacing w:after="0"/>
        <w:rPr>
          <w:rStyle w:val="Hyperlink"/>
          <w:rFonts w:ascii="Times New Roman" w:hAnsi="Times New Roman"/>
          <w:color w:val="auto"/>
          <w:sz w:val="24"/>
          <w:szCs w:val="24"/>
          <w:u w:val="none"/>
          <w:lang w:val="en-US"/>
        </w:rPr>
      </w:pPr>
      <w:r>
        <w:rPr>
          <w:rStyle w:val="Hyperlink"/>
          <w:rFonts w:ascii="Times New Roman" w:hAnsi="Times New Roman"/>
          <w:color w:val="auto"/>
          <w:sz w:val="24"/>
          <w:szCs w:val="24"/>
          <w:u w:val="none"/>
          <w:lang w:val="en-US"/>
        </w:rPr>
        <w:t xml:space="preserve"> </w:t>
      </w:r>
    </w:p>
    <w:p w14:paraId="20F3723A" w14:textId="77777777" w:rsidR="00241118" w:rsidRPr="00F84FDA" w:rsidRDefault="00241118" w:rsidP="00581E8B">
      <w:pPr>
        <w:pStyle w:val="HeadingAbstrak"/>
        <w:tabs>
          <w:tab w:val="left" w:pos="1620"/>
        </w:tabs>
        <w:spacing w:before="0" w:after="0"/>
        <w:ind w:left="216" w:right="216"/>
        <w:rPr>
          <w:sz w:val="20"/>
          <w:szCs w:val="20"/>
        </w:rPr>
      </w:pPr>
      <w:r w:rsidRPr="00F84FDA">
        <w:rPr>
          <w:sz w:val="20"/>
          <w:szCs w:val="20"/>
        </w:rPr>
        <w:t>Abstrak</w:t>
      </w:r>
    </w:p>
    <w:p w14:paraId="1FC6A363" w14:textId="77777777" w:rsidR="00216718" w:rsidRDefault="00216718" w:rsidP="00216718">
      <w:pPr>
        <w:pStyle w:val="abstrak"/>
        <w:ind w:left="216" w:right="216" w:firstLine="493"/>
        <w:rPr>
          <w:sz w:val="20"/>
          <w:szCs w:val="20"/>
          <w:lang w:val="en-US"/>
        </w:rPr>
      </w:pPr>
      <w:r w:rsidRPr="00216718">
        <w:rPr>
          <w:sz w:val="20"/>
          <w:szCs w:val="20"/>
        </w:rPr>
        <w:t>Diabetes melitus (DM) adalah sekelompok gangguan metabolisme yang ditandai dengan glukosa darah tinggi serta metabolisme lemak dan protein yang berubah yang disebabkan oleh sekresi insulin, aksi insulin (sensitivitas), ataupun keduanya.</w:t>
      </w:r>
      <w:r>
        <w:rPr>
          <w:sz w:val="20"/>
          <w:szCs w:val="20"/>
          <w:lang w:val="en-US"/>
        </w:rPr>
        <w:t xml:space="preserve"> </w:t>
      </w:r>
    </w:p>
    <w:p w14:paraId="412ED679" w14:textId="482A7490" w:rsidR="00216718" w:rsidRDefault="00216718" w:rsidP="00216718">
      <w:pPr>
        <w:pStyle w:val="abstrak"/>
        <w:spacing w:before="0"/>
        <w:ind w:left="216" w:right="216" w:firstLine="493"/>
        <w:rPr>
          <w:sz w:val="20"/>
          <w:szCs w:val="20"/>
          <w:lang w:val="en-US"/>
        </w:rPr>
      </w:pPr>
      <w:r w:rsidRPr="00216718">
        <w:rPr>
          <w:sz w:val="20"/>
          <w:szCs w:val="20"/>
        </w:rPr>
        <w:t>Penelitian ini bertujuan untuk mengetahui mengetahui perbandingan Monoterapi dapagliflozin yang dikombinasikan dengan metformin, saxagliptin dan glimepirid</w:t>
      </w:r>
      <w:r>
        <w:rPr>
          <w:sz w:val="20"/>
          <w:szCs w:val="20"/>
          <w:lang w:val="en-US"/>
        </w:rPr>
        <w:t>.</w:t>
      </w:r>
    </w:p>
    <w:p w14:paraId="6F17057A" w14:textId="77777777" w:rsidR="00216718" w:rsidRDefault="00216718" w:rsidP="00216718">
      <w:pPr>
        <w:pStyle w:val="abstrak"/>
        <w:tabs>
          <w:tab w:val="left" w:pos="8280"/>
        </w:tabs>
        <w:spacing w:before="0"/>
        <w:ind w:left="216" w:right="216"/>
        <w:rPr>
          <w:sz w:val="20"/>
          <w:szCs w:val="20"/>
        </w:rPr>
      </w:pPr>
      <w:r w:rsidRPr="00216718">
        <w:rPr>
          <w:sz w:val="20"/>
          <w:szCs w:val="20"/>
        </w:rPr>
        <w:t>Metode penelitian ini dilakukan secara eksperimental selama 7 hari, data dianalisis dengan metode Uji Paired T-Test, One Way ANOVA dan Pos Hoc HSD dengan sig = 0,05 untuk mengetahui perbedaan yang bermakna antara kelompok I, II, III, IV, V, VI dan VII.</w:t>
      </w:r>
    </w:p>
    <w:p w14:paraId="7539C65D" w14:textId="77777777" w:rsidR="00216718" w:rsidRDefault="00216718" w:rsidP="00216718">
      <w:pPr>
        <w:pStyle w:val="abstrak"/>
        <w:tabs>
          <w:tab w:val="left" w:pos="709"/>
        </w:tabs>
        <w:spacing w:before="0"/>
        <w:ind w:left="216" w:right="216"/>
        <w:rPr>
          <w:sz w:val="20"/>
          <w:szCs w:val="20"/>
        </w:rPr>
      </w:pPr>
      <w:r>
        <w:rPr>
          <w:sz w:val="20"/>
          <w:szCs w:val="20"/>
        </w:rPr>
        <w:tab/>
      </w:r>
      <w:r w:rsidRPr="00216718">
        <w:rPr>
          <w:sz w:val="20"/>
          <w:szCs w:val="20"/>
        </w:rPr>
        <w:t>Hasil penelitian ini menunjukkan hasil uji normalitas kadar gula darah menunjukan nilai sig. &gt; 0,05 dapat disimpulkan data terdistribusi normal. Pada uji one way anova menunjukan sig. &lt; 0,05. Pada uji tukey HSD menunjukan hanya penggunaan dapagliflozin tunggal dengan kombinasi dapagliflozin + glimepirid, kombinasi dapagliflozin + metformin dengan kombinasi dapagliflozin + saxagliptin dan kombinasi dapagliflozin + metformin dengan kombinasi dapagliflozin + metformin + saxaglitpin saja yang memiliki nilai sig. &gt; 0.05 yang artinya tidak ada perbedaan bermakna, sedangkan perbandingan kelompok yang lain memiliki nilai sig. &lt; 0,05 yang artinya ada perbedaan bermakna.</w:t>
      </w:r>
    </w:p>
    <w:p w14:paraId="3671EEEA" w14:textId="1D282C98" w:rsidR="00241118" w:rsidRPr="00216718" w:rsidRDefault="00216718" w:rsidP="00216718">
      <w:pPr>
        <w:pStyle w:val="abstrak"/>
        <w:tabs>
          <w:tab w:val="left" w:pos="709"/>
        </w:tabs>
        <w:spacing w:before="0"/>
        <w:ind w:left="216" w:right="216"/>
        <w:rPr>
          <w:sz w:val="20"/>
          <w:szCs w:val="20"/>
        </w:rPr>
      </w:pPr>
      <w:r>
        <w:rPr>
          <w:sz w:val="20"/>
          <w:szCs w:val="20"/>
        </w:rPr>
        <w:tab/>
      </w:r>
      <w:r w:rsidRPr="00216718">
        <w:rPr>
          <w:sz w:val="20"/>
          <w:szCs w:val="20"/>
        </w:rPr>
        <w:t>Kesimpulan pada peneleitian ini yaitu kombinasi terbaik untuk 3 kombinasi obat adalah kombinasi terapi dapaglifozin, metformin dan saxagliptin kombinasi terbaik untuk 2 kombinasi obat adalah dapagliflozin dan metformin. Kedua kombinasi tersebut menunjukan efektivitas penurunan kadar gula darah yang baik dibandingkan dengan kombinasi yang lain.</w:t>
      </w:r>
      <w:r w:rsidR="001D0D4B" w:rsidRPr="001D0D4B">
        <w:rPr>
          <w:sz w:val="20"/>
          <w:szCs w:val="20"/>
        </w:rPr>
        <w:t xml:space="preserve"> </w:t>
      </w:r>
    </w:p>
    <w:p w14:paraId="4BE76AA9" w14:textId="5C92DE68" w:rsidR="00241118" w:rsidRPr="00E64FED" w:rsidRDefault="00241118" w:rsidP="00931C8B">
      <w:pPr>
        <w:pStyle w:val="abstrak"/>
        <w:tabs>
          <w:tab w:val="left" w:pos="8280"/>
        </w:tabs>
        <w:spacing w:before="0"/>
        <w:ind w:left="216" w:right="216"/>
        <w:rPr>
          <w:i/>
          <w:sz w:val="20"/>
          <w:szCs w:val="20"/>
          <w:lang w:val="en-US"/>
        </w:rPr>
      </w:pPr>
      <w:r w:rsidRPr="00F84FDA">
        <w:rPr>
          <w:b/>
          <w:sz w:val="20"/>
          <w:szCs w:val="20"/>
        </w:rPr>
        <w:t>Kata Kunci</w:t>
      </w:r>
      <w:r w:rsidRPr="00F84FDA">
        <w:rPr>
          <w:sz w:val="20"/>
          <w:szCs w:val="20"/>
        </w:rPr>
        <w:t xml:space="preserve">: </w:t>
      </w:r>
      <w:r w:rsidR="00E64FED">
        <w:rPr>
          <w:sz w:val="20"/>
          <w:szCs w:val="20"/>
          <w:lang w:val="en-US"/>
        </w:rPr>
        <w:t xml:space="preserve">Diabetes mellitus, </w:t>
      </w:r>
      <w:proofErr w:type="spellStart"/>
      <w:r w:rsidR="00E64FED">
        <w:rPr>
          <w:sz w:val="20"/>
          <w:szCs w:val="20"/>
          <w:lang w:val="en-US"/>
        </w:rPr>
        <w:t>Dapagliglozin</w:t>
      </w:r>
      <w:proofErr w:type="spellEnd"/>
      <w:r w:rsidR="00E64FED">
        <w:rPr>
          <w:sz w:val="20"/>
          <w:szCs w:val="20"/>
          <w:lang w:val="en-US"/>
        </w:rPr>
        <w:t xml:space="preserve">, Metformin, </w:t>
      </w:r>
      <w:proofErr w:type="spellStart"/>
      <w:r w:rsidR="00E64FED">
        <w:rPr>
          <w:sz w:val="20"/>
          <w:szCs w:val="20"/>
          <w:lang w:val="en-US"/>
        </w:rPr>
        <w:t>Saxagliptin</w:t>
      </w:r>
      <w:proofErr w:type="spellEnd"/>
      <w:r w:rsidR="00E64FED">
        <w:rPr>
          <w:sz w:val="20"/>
          <w:szCs w:val="20"/>
          <w:lang w:val="en-US"/>
        </w:rPr>
        <w:t xml:space="preserve">, </w:t>
      </w:r>
      <w:proofErr w:type="spellStart"/>
      <w:r w:rsidR="00E64FED">
        <w:rPr>
          <w:sz w:val="20"/>
          <w:szCs w:val="20"/>
          <w:lang w:val="en-US"/>
        </w:rPr>
        <w:t>Glimepirid</w:t>
      </w:r>
      <w:proofErr w:type="spellEnd"/>
    </w:p>
    <w:p w14:paraId="07F3C591" w14:textId="77777777" w:rsidR="00241118" w:rsidRPr="00F84FDA" w:rsidRDefault="00241118" w:rsidP="00931C8B">
      <w:pPr>
        <w:pStyle w:val="HeadingAbstrak"/>
        <w:tabs>
          <w:tab w:val="left" w:pos="1620"/>
          <w:tab w:val="left" w:pos="8280"/>
        </w:tabs>
        <w:ind w:left="216" w:right="216"/>
        <w:rPr>
          <w:i/>
          <w:sz w:val="20"/>
          <w:szCs w:val="20"/>
        </w:rPr>
      </w:pPr>
      <w:r w:rsidRPr="00F84FDA">
        <w:rPr>
          <w:i/>
          <w:sz w:val="20"/>
          <w:szCs w:val="20"/>
        </w:rPr>
        <w:t>Abstract</w:t>
      </w:r>
    </w:p>
    <w:p w14:paraId="376514BB" w14:textId="77777777" w:rsidR="00E64FED" w:rsidRDefault="00E64FED" w:rsidP="00E64FED">
      <w:pPr>
        <w:pStyle w:val="abstrak"/>
        <w:ind w:left="216" w:right="216"/>
        <w:rPr>
          <w:i/>
          <w:sz w:val="20"/>
          <w:szCs w:val="20"/>
        </w:rPr>
      </w:pPr>
      <w:r>
        <w:rPr>
          <w:i/>
          <w:sz w:val="20"/>
          <w:szCs w:val="20"/>
        </w:rPr>
        <w:tab/>
      </w:r>
      <w:r w:rsidRPr="00E64FED">
        <w:rPr>
          <w:i/>
          <w:sz w:val="20"/>
          <w:szCs w:val="20"/>
        </w:rPr>
        <w:t>Diabetes mellitus (DM) is a group of metabolic disorders characterized by high blood glucose and altered fat and protein metabolism caused by insulin secretion, insulin action (sensitivity), or both.</w:t>
      </w:r>
    </w:p>
    <w:p w14:paraId="08EA3C93" w14:textId="77777777" w:rsidR="00E64FED" w:rsidRDefault="00E64FED" w:rsidP="00E64FED">
      <w:pPr>
        <w:pStyle w:val="abstrak"/>
        <w:spacing w:before="0"/>
        <w:ind w:left="216" w:right="216" w:firstLine="504"/>
        <w:rPr>
          <w:i/>
          <w:sz w:val="20"/>
          <w:szCs w:val="20"/>
        </w:rPr>
      </w:pPr>
      <w:r w:rsidRPr="00E64FED">
        <w:rPr>
          <w:i/>
          <w:sz w:val="20"/>
          <w:szCs w:val="20"/>
        </w:rPr>
        <w:t>This study aims to determine the comparison of dapagliflozin monotherapy combined with metformin, saxagliptin and glimepiride.</w:t>
      </w:r>
    </w:p>
    <w:p w14:paraId="2EDB1B0C" w14:textId="77777777" w:rsidR="00E64FED" w:rsidRDefault="00E64FED" w:rsidP="00E64FED">
      <w:pPr>
        <w:pStyle w:val="abstrak"/>
        <w:spacing w:before="0"/>
        <w:ind w:left="216" w:right="216" w:firstLine="504"/>
        <w:rPr>
          <w:i/>
          <w:sz w:val="20"/>
          <w:szCs w:val="20"/>
        </w:rPr>
      </w:pPr>
      <w:r w:rsidRPr="00E64FED">
        <w:rPr>
          <w:i/>
          <w:sz w:val="20"/>
          <w:szCs w:val="20"/>
        </w:rPr>
        <w:t>This research method was carried out experimentally for 7 days, the data were analyzed using the Paired T-Test, One Way ANOVA and Pos Hoc HSD test methods with sig = 0.05 to determine the significant difference between groups I, II, III, IV, V, VI and VII.</w:t>
      </w:r>
    </w:p>
    <w:p w14:paraId="4AFC986F" w14:textId="77777777" w:rsidR="00E64FED" w:rsidRDefault="00E64FED" w:rsidP="00E64FED">
      <w:pPr>
        <w:pStyle w:val="abstrak"/>
        <w:spacing w:before="0"/>
        <w:ind w:left="216" w:right="216" w:firstLine="504"/>
        <w:rPr>
          <w:i/>
          <w:sz w:val="20"/>
          <w:szCs w:val="20"/>
        </w:rPr>
      </w:pPr>
      <w:r w:rsidRPr="00E64FED">
        <w:rPr>
          <w:i/>
          <w:sz w:val="20"/>
          <w:szCs w:val="20"/>
        </w:rPr>
        <w:t>The results of this study indicate that the results of the normality test of blood sugar levels show the value of sig. &gt; 0.05, it can be concluded that the data is normally distributed. In the one way ANOVA test, it shows sig. &lt; 0.05. The Tukey HSD test showed that only the use of dapagliflozin alone with the combination of dapagliflozin + glimepiride, the combination of dapagliflozin + metformin with the combination of dapagliflozin + saxagliptin and the combination of dapagliflozin + metformin with the combination of dapagliflozin + metformin + saxaglitpin only had sig values. &gt; 0.05 which means that there is no significant difference, while the comparison of the other groups has a sig value. &lt;0.05, which means there is a significant difference.</w:t>
      </w:r>
    </w:p>
    <w:p w14:paraId="2DEEFBEE" w14:textId="4989EAAC" w:rsidR="00241118" w:rsidRPr="0005159F" w:rsidRDefault="00E64FED" w:rsidP="00E64FED">
      <w:pPr>
        <w:pStyle w:val="abstrak"/>
        <w:spacing w:before="0"/>
        <w:ind w:left="216" w:right="216" w:firstLine="504"/>
        <w:rPr>
          <w:i/>
          <w:sz w:val="20"/>
          <w:szCs w:val="20"/>
        </w:rPr>
      </w:pPr>
      <w:r w:rsidRPr="00E64FED">
        <w:rPr>
          <w:i/>
          <w:sz w:val="20"/>
          <w:szCs w:val="20"/>
        </w:rPr>
        <w:t xml:space="preserve">The conclusion of this study is that the best combination for 3 drug combinations is dapaglifozin, metformin and saxagliptin combination therapy. The best combination for 2 drug combinations is </w:t>
      </w:r>
      <w:r w:rsidRPr="00E64FED">
        <w:rPr>
          <w:i/>
          <w:sz w:val="20"/>
          <w:szCs w:val="20"/>
        </w:rPr>
        <w:lastRenderedPageBreak/>
        <w:t>dapagliflozin and metformin. Both combinations showed the effectiveness of lowering blood sugar levels were good compared to other combinations.</w:t>
      </w:r>
    </w:p>
    <w:p w14:paraId="4443B267" w14:textId="2D3B1D85" w:rsidR="00241118" w:rsidRPr="00E64FED" w:rsidRDefault="00241118" w:rsidP="00931C8B">
      <w:pPr>
        <w:pStyle w:val="abstrak"/>
        <w:tabs>
          <w:tab w:val="left" w:pos="8280"/>
        </w:tabs>
        <w:spacing w:before="0"/>
        <w:ind w:left="216" w:right="216"/>
        <w:rPr>
          <w:i/>
          <w:sz w:val="20"/>
          <w:szCs w:val="20"/>
          <w:lang w:val="en-US"/>
        </w:rPr>
      </w:pPr>
      <w:r w:rsidRPr="0005159F">
        <w:rPr>
          <w:b/>
          <w:i/>
          <w:sz w:val="20"/>
          <w:szCs w:val="20"/>
        </w:rPr>
        <w:t>Keywords</w:t>
      </w:r>
      <w:r w:rsidRPr="0005159F">
        <w:rPr>
          <w:i/>
          <w:sz w:val="20"/>
          <w:szCs w:val="20"/>
        </w:rPr>
        <w:t xml:space="preserve">: </w:t>
      </w:r>
      <w:r w:rsidR="00E64FED">
        <w:rPr>
          <w:i/>
          <w:sz w:val="20"/>
          <w:szCs w:val="20"/>
          <w:lang w:val="en-US"/>
        </w:rPr>
        <w:t xml:space="preserve">Diabetes mellitus, Metformin, Dapagliflozin, </w:t>
      </w:r>
      <w:proofErr w:type="spellStart"/>
      <w:r w:rsidR="00E64FED">
        <w:rPr>
          <w:i/>
          <w:sz w:val="20"/>
          <w:szCs w:val="20"/>
          <w:lang w:val="en-US"/>
        </w:rPr>
        <w:t>Saxagliptin</w:t>
      </w:r>
      <w:proofErr w:type="spellEnd"/>
      <w:r w:rsidR="00E64FED">
        <w:rPr>
          <w:i/>
          <w:sz w:val="20"/>
          <w:szCs w:val="20"/>
          <w:lang w:val="en-US"/>
        </w:rPr>
        <w:t>, Glimepiride</w:t>
      </w:r>
    </w:p>
    <w:p w14:paraId="741FE432" w14:textId="77777777" w:rsidR="00961EDA" w:rsidRPr="00961EDA" w:rsidRDefault="00961EDA" w:rsidP="00DA7FA2">
      <w:pPr>
        <w:pStyle w:val="abstrak"/>
      </w:pPr>
    </w:p>
    <w:p w14:paraId="068236A6" w14:textId="77777777" w:rsidR="00A945B2" w:rsidRDefault="00A945B2" w:rsidP="00ED763D">
      <w:pPr>
        <w:pStyle w:val="Heading1"/>
        <w:spacing w:before="0" w:after="0"/>
        <w:sectPr w:rsidR="00A945B2" w:rsidSect="001628FD">
          <w:headerReference w:type="default" r:id="rId9"/>
          <w:footerReference w:type="default" r:id="rId10"/>
          <w:footerReference w:type="first" r:id="rId11"/>
          <w:pgSz w:w="11909" w:h="16834" w:code="9"/>
          <w:pgMar w:top="1440" w:right="1440" w:bottom="2016" w:left="1440" w:header="425" w:footer="720" w:gutter="0"/>
          <w:pgNumType w:start="1"/>
          <w:cols w:space="360"/>
          <w:docGrid w:linePitch="360"/>
        </w:sectPr>
      </w:pPr>
    </w:p>
    <w:p w14:paraId="4C7721BF" w14:textId="77777777" w:rsidR="00241118" w:rsidRPr="00117C31" w:rsidRDefault="00241118" w:rsidP="00ED763D">
      <w:pPr>
        <w:pStyle w:val="Heading1"/>
        <w:spacing w:before="0" w:after="0"/>
      </w:pPr>
      <w:r w:rsidRPr="00117C31">
        <w:t>PENDAHULUAN</w:t>
      </w:r>
      <w:r w:rsidR="006C7AAC">
        <w:t xml:space="preserve"> (INTRODUCTION)</w:t>
      </w:r>
    </w:p>
    <w:p w14:paraId="1A0F52F4" w14:textId="77777777" w:rsidR="00006AA5" w:rsidRDefault="00006AA5" w:rsidP="00006AA5">
      <w:pPr>
        <w:pBdr>
          <w:top w:val="nil"/>
          <w:left w:val="nil"/>
          <w:bottom w:val="nil"/>
          <w:right w:val="nil"/>
          <w:between w:val="nil"/>
        </w:pBdr>
        <w:ind w:firstLine="432"/>
        <w:jc w:val="both"/>
        <w:rPr>
          <w:b/>
          <w:color w:val="000000"/>
          <w:sz w:val="24"/>
          <w:szCs w:val="24"/>
        </w:rPr>
      </w:pPr>
      <w:r w:rsidRPr="00155B23">
        <w:rPr>
          <w:color w:val="000000"/>
          <w:sz w:val="24"/>
          <w:szCs w:val="24"/>
        </w:rPr>
        <w:t xml:space="preserve">Diabetes </w:t>
      </w:r>
      <w:proofErr w:type="spellStart"/>
      <w:r w:rsidRPr="00155B23">
        <w:rPr>
          <w:color w:val="000000"/>
          <w:sz w:val="24"/>
          <w:szCs w:val="24"/>
        </w:rPr>
        <w:t>melitus</w:t>
      </w:r>
      <w:proofErr w:type="spellEnd"/>
      <w:r w:rsidRPr="00155B23">
        <w:rPr>
          <w:color w:val="000000"/>
          <w:sz w:val="24"/>
          <w:szCs w:val="24"/>
        </w:rPr>
        <w:t xml:space="preserve"> (DM) </w:t>
      </w:r>
      <w:proofErr w:type="spellStart"/>
      <w:r w:rsidRPr="00155B23">
        <w:rPr>
          <w:color w:val="000000"/>
          <w:sz w:val="24"/>
          <w:szCs w:val="24"/>
        </w:rPr>
        <w:t>merupakan</w:t>
      </w:r>
      <w:proofErr w:type="spellEnd"/>
      <w:r w:rsidRPr="00155B23">
        <w:rPr>
          <w:color w:val="000000"/>
          <w:sz w:val="24"/>
          <w:szCs w:val="24"/>
        </w:rPr>
        <w:t xml:space="preserve"> </w:t>
      </w:r>
      <w:proofErr w:type="spellStart"/>
      <w:r w:rsidRPr="00155B23">
        <w:rPr>
          <w:color w:val="000000"/>
          <w:sz w:val="24"/>
          <w:szCs w:val="24"/>
        </w:rPr>
        <w:t>penyakit</w:t>
      </w:r>
      <w:proofErr w:type="spellEnd"/>
      <w:r w:rsidRPr="00155B23">
        <w:rPr>
          <w:color w:val="000000"/>
          <w:sz w:val="24"/>
          <w:szCs w:val="24"/>
        </w:rPr>
        <w:t xml:space="preserve"> </w:t>
      </w:r>
      <w:proofErr w:type="spellStart"/>
      <w:r w:rsidRPr="00155B23">
        <w:rPr>
          <w:color w:val="000000"/>
          <w:sz w:val="24"/>
          <w:szCs w:val="24"/>
        </w:rPr>
        <w:t>kronis</w:t>
      </w:r>
      <w:proofErr w:type="spellEnd"/>
      <w:r w:rsidRPr="00155B23">
        <w:rPr>
          <w:color w:val="000000"/>
          <w:sz w:val="24"/>
          <w:szCs w:val="24"/>
        </w:rPr>
        <w:t xml:space="preserve"> </w:t>
      </w:r>
      <w:proofErr w:type="spellStart"/>
      <w:r w:rsidRPr="00155B23">
        <w:rPr>
          <w:color w:val="000000"/>
          <w:sz w:val="24"/>
          <w:szCs w:val="24"/>
        </w:rPr>
        <w:t>akibat</w:t>
      </w:r>
      <w:proofErr w:type="spellEnd"/>
      <w:r w:rsidRPr="00155B23">
        <w:rPr>
          <w:color w:val="000000"/>
          <w:sz w:val="24"/>
          <w:szCs w:val="24"/>
        </w:rPr>
        <w:t xml:space="preserve"> </w:t>
      </w:r>
      <w:proofErr w:type="spellStart"/>
      <w:r w:rsidRPr="00155B23">
        <w:rPr>
          <w:color w:val="000000"/>
          <w:sz w:val="24"/>
          <w:szCs w:val="24"/>
        </w:rPr>
        <w:t>ketidakmampuan</w:t>
      </w:r>
      <w:proofErr w:type="spellEnd"/>
      <w:r w:rsidRPr="00155B23">
        <w:rPr>
          <w:color w:val="000000"/>
          <w:sz w:val="24"/>
          <w:szCs w:val="24"/>
        </w:rPr>
        <w:t xml:space="preserve"> </w:t>
      </w:r>
      <w:proofErr w:type="spellStart"/>
      <w:r w:rsidRPr="00155B23">
        <w:rPr>
          <w:color w:val="000000"/>
          <w:sz w:val="24"/>
          <w:szCs w:val="24"/>
        </w:rPr>
        <w:t>tubuh</w:t>
      </w:r>
      <w:proofErr w:type="spellEnd"/>
      <w:r w:rsidRPr="00155B23">
        <w:rPr>
          <w:color w:val="000000"/>
          <w:sz w:val="24"/>
          <w:szCs w:val="24"/>
        </w:rPr>
        <w:t xml:space="preserve"> </w:t>
      </w:r>
      <w:proofErr w:type="spellStart"/>
      <w:r w:rsidRPr="00155B23">
        <w:rPr>
          <w:color w:val="000000"/>
          <w:sz w:val="24"/>
          <w:szCs w:val="24"/>
        </w:rPr>
        <w:t>menggunakan</w:t>
      </w:r>
      <w:proofErr w:type="spellEnd"/>
      <w:r w:rsidRPr="00155B23">
        <w:rPr>
          <w:color w:val="000000"/>
          <w:sz w:val="24"/>
          <w:szCs w:val="24"/>
        </w:rPr>
        <w:t xml:space="preserve"> insulin </w:t>
      </w:r>
      <w:proofErr w:type="spellStart"/>
      <w:r w:rsidRPr="00155B23">
        <w:rPr>
          <w:color w:val="000000"/>
          <w:sz w:val="24"/>
          <w:szCs w:val="24"/>
        </w:rPr>
        <w:t>secara</w:t>
      </w:r>
      <w:proofErr w:type="spellEnd"/>
      <w:r w:rsidRPr="00155B23">
        <w:rPr>
          <w:color w:val="000000"/>
          <w:sz w:val="24"/>
          <w:szCs w:val="24"/>
        </w:rPr>
        <w:t xml:space="preserve"> </w:t>
      </w:r>
      <w:proofErr w:type="spellStart"/>
      <w:r w:rsidRPr="00155B23">
        <w:rPr>
          <w:color w:val="000000"/>
          <w:sz w:val="24"/>
          <w:szCs w:val="24"/>
        </w:rPr>
        <w:t>efektif</w:t>
      </w:r>
      <w:proofErr w:type="spellEnd"/>
      <w:r w:rsidRPr="00155B23">
        <w:rPr>
          <w:color w:val="000000"/>
          <w:sz w:val="24"/>
          <w:szCs w:val="24"/>
        </w:rPr>
        <w:t xml:space="preserve"> </w:t>
      </w:r>
      <w:proofErr w:type="spellStart"/>
      <w:r w:rsidRPr="00155B23">
        <w:rPr>
          <w:color w:val="000000"/>
          <w:sz w:val="24"/>
          <w:szCs w:val="24"/>
        </w:rPr>
        <w:t>sehingga</w:t>
      </w:r>
      <w:proofErr w:type="spellEnd"/>
      <w:r w:rsidRPr="00155B23">
        <w:rPr>
          <w:color w:val="000000"/>
          <w:sz w:val="24"/>
          <w:szCs w:val="24"/>
        </w:rPr>
        <w:t xml:space="preserve"> </w:t>
      </w:r>
      <w:proofErr w:type="spellStart"/>
      <w:r w:rsidRPr="00155B23">
        <w:rPr>
          <w:color w:val="000000"/>
          <w:sz w:val="24"/>
          <w:szCs w:val="24"/>
        </w:rPr>
        <w:t>menga</w:t>
      </w:r>
      <w:r>
        <w:rPr>
          <w:color w:val="000000"/>
          <w:sz w:val="24"/>
          <w:szCs w:val="24"/>
        </w:rPr>
        <w:t>kibatkan</w:t>
      </w:r>
      <w:proofErr w:type="spellEnd"/>
      <w:r>
        <w:rPr>
          <w:color w:val="000000"/>
          <w:sz w:val="24"/>
          <w:szCs w:val="24"/>
        </w:rPr>
        <w:t xml:space="preserve"> </w:t>
      </w:r>
      <w:proofErr w:type="spellStart"/>
      <w:r>
        <w:rPr>
          <w:color w:val="000000"/>
          <w:sz w:val="24"/>
          <w:szCs w:val="24"/>
        </w:rPr>
        <w:t>peningkatan</w:t>
      </w:r>
      <w:proofErr w:type="spellEnd"/>
      <w:r>
        <w:rPr>
          <w:color w:val="000000"/>
          <w:sz w:val="24"/>
          <w:szCs w:val="24"/>
        </w:rPr>
        <w:t xml:space="preserve"> gula </w:t>
      </w:r>
      <w:proofErr w:type="spellStart"/>
      <w:r>
        <w:rPr>
          <w:color w:val="000000"/>
          <w:sz w:val="24"/>
          <w:szCs w:val="24"/>
        </w:rPr>
        <w:t>darah</w:t>
      </w:r>
      <w:proofErr w:type="spellEnd"/>
      <w:r w:rsidRPr="00155B23">
        <w:rPr>
          <w:color w:val="000000"/>
          <w:sz w:val="24"/>
          <w:szCs w:val="24"/>
        </w:rPr>
        <w:t>.</w:t>
      </w:r>
      <w:r>
        <w:rPr>
          <w:color w:val="000000"/>
          <w:sz w:val="24"/>
          <w:szCs w:val="24"/>
        </w:rPr>
        <w:t xml:space="preserve"> </w:t>
      </w:r>
      <w:r w:rsidRPr="00374843">
        <w:rPr>
          <w:color w:val="000000"/>
          <w:sz w:val="24"/>
          <w:szCs w:val="24"/>
        </w:rPr>
        <w:t xml:space="preserve">DM </w:t>
      </w:r>
      <w:proofErr w:type="spellStart"/>
      <w:r w:rsidRPr="00374843">
        <w:rPr>
          <w:color w:val="000000"/>
          <w:sz w:val="24"/>
          <w:szCs w:val="24"/>
        </w:rPr>
        <w:t>ditandai</w:t>
      </w:r>
      <w:proofErr w:type="spellEnd"/>
      <w:r w:rsidRPr="00374843">
        <w:rPr>
          <w:color w:val="000000"/>
          <w:sz w:val="24"/>
          <w:szCs w:val="24"/>
        </w:rPr>
        <w:t xml:space="preserve"> </w:t>
      </w:r>
      <w:proofErr w:type="spellStart"/>
      <w:r w:rsidRPr="00374843">
        <w:rPr>
          <w:color w:val="000000"/>
          <w:sz w:val="24"/>
          <w:szCs w:val="24"/>
        </w:rPr>
        <w:t>dengan</w:t>
      </w:r>
      <w:proofErr w:type="spellEnd"/>
      <w:r w:rsidRPr="00374843">
        <w:rPr>
          <w:color w:val="000000"/>
          <w:sz w:val="24"/>
          <w:szCs w:val="24"/>
        </w:rPr>
        <w:t xml:space="preserve"> </w:t>
      </w:r>
      <w:proofErr w:type="spellStart"/>
      <w:r w:rsidRPr="00374843">
        <w:rPr>
          <w:color w:val="000000"/>
          <w:sz w:val="24"/>
          <w:szCs w:val="24"/>
        </w:rPr>
        <w:t>pembentukan</w:t>
      </w:r>
      <w:proofErr w:type="spellEnd"/>
      <w:r w:rsidRPr="00374843">
        <w:rPr>
          <w:color w:val="000000"/>
          <w:sz w:val="24"/>
          <w:szCs w:val="24"/>
        </w:rPr>
        <w:t xml:space="preserve"> </w:t>
      </w:r>
      <w:r w:rsidRPr="00374843">
        <w:rPr>
          <w:i/>
          <w:color w:val="000000"/>
          <w:sz w:val="24"/>
          <w:szCs w:val="24"/>
        </w:rPr>
        <w:t>AGEs product</w:t>
      </w:r>
      <w:r w:rsidRPr="00374843">
        <w:rPr>
          <w:color w:val="000000"/>
          <w:sz w:val="24"/>
          <w:szCs w:val="24"/>
        </w:rPr>
        <w:t xml:space="preserve"> yang </w:t>
      </w:r>
      <w:proofErr w:type="spellStart"/>
      <w:r w:rsidRPr="00374843">
        <w:rPr>
          <w:color w:val="000000"/>
          <w:sz w:val="24"/>
          <w:szCs w:val="24"/>
        </w:rPr>
        <w:t>menyebabkan</w:t>
      </w:r>
      <w:proofErr w:type="spellEnd"/>
      <w:r w:rsidRPr="00374843">
        <w:rPr>
          <w:color w:val="000000"/>
          <w:sz w:val="24"/>
          <w:szCs w:val="24"/>
        </w:rPr>
        <w:t xml:space="preserve"> </w:t>
      </w:r>
      <w:proofErr w:type="spellStart"/>
      <w:r w:rsidRPr="00374843">
        <w:rPr>
          <w:color w:val="000000"/>
          <w:sz w:val="24"/>
          <w:szCs w:val="24"/>
        </w:rPr>
        <w:t>terjadinya</w:t>
      </w:r>
      <w:proofErr w:type="spellEnd"/>
      <w:r w:rsidRPr="00374843">
        <w:rPr>
          <w:color w:val="000000"/>
          <w:sz w:val="24"/>
          <w:szCs w:val="24"/>
        </w:rPr>
        <w:t xml:space="preserve"> </w:t>
      </w:r>
      <w:proofErr w:type="spellStart"/>
      <w:r w:rsidRPr="00374843">
        <w:rPr>
          <w:color w:val="000000"/>
          <w:sz w:val="24"/>
          <w:szCs w:val="24"/>
        </w:rPr>
        <w:t>komplikasi</w:t>
      </w:r>
      <w:proofErr w:type="spellEnd"/>
      <w:r w:rsidRPr="00374843">
        <w:rPr>
          <w:color w:val="000000"/>
          <w:sz w:val="24"/>
          <w:szCs w:val="24"/>
        </w:rPr>
        <w:t xml:space="preserve"> </w:t>
      </w:r>
      <w:proofErr w:type="spellStart"/>
      <w:r w:rsidRPr="00374843">
        <w:rPr>
          <w:color w:val="000000"/>
          <w:sz w:val="24"/>
          <w:szCs w:val="24"/>
        </w:rPr>
        <w:t>mikrovaskular</w:t>
      </w:r>
      <w:proofErr w:type="spellEnd"/>
      <w:r w:rsidRPr="00374843">
        <w:rPr>
          <w:color w:val="000000"/>
          <w:sz w:val="24"/>
          <w:szCs w:val="24"/>
        </w:rPr>
        <w:t xml:space="preserve"> </w:t>
      </w:r>
      <w:proofErr w:type="spellStart"/>
      <w:r w:rsidRPr="00374843">
        <w:rPr>
          <w:color w:val="000000"/>
          <w:sz w:val="24"/>
          <w:szCs w:val="24"/>
        </w:rPr>
        <w:t>atau</w:t>
      </w:r>
      <w:proofErr w:type="spellEnd"/>
      <w:r w:rsidRPr="00374843">
        <w:rPr>
          <w:color w:val="000000"/>
          <w:sz w:val="24"/>
          <w:szCs w:val="24"/>
        </w:rPr>
        <w:t xml:space="preserve"> </w:t>
      </w:r>
      <w:proofErr w:type="spellStart"/>
      <w:r w:rsidRPr="00374843">
        <w:rPr>
          <w:color w:val="000000"/>
          <w:sz w:val="24"/>
          <w:szCs w:val="24"/>
        </w:rPr>
        <w:t>mak</w:t>
      </w:r>
      <w:r>
        <w:rPr>
          <w:color w:val="000000"/>
          <w:sz w:val="24"/>
          <w:szCs w:val="24"/>
        </w:rPr>
        <w:t>rovaskular</w:t>
      </w:r>
      <w:proofErr w:type="spellEnd"/>
      <w:r>
        <w:rPr>
          <w:color w:val="000000"/>
          <w:sz w:val="24"/>
          <w:szCs w:val="24"/>
        </w:rPr>
        <w:t xml:space="preserve"> </w:t>
      </w:r>
      <w:r>
        <w:rPr>
          <w:b/>
          <w:color w:val="000000"/>
          <w:sz w:val="24"/>
          <w:szCs w:val="24"/>
        </w:rPr>
        <w:fldChar w:fldCharType="begin" w:fldLock="1"/>
      </w:r>
      <w:r>
        <w:rPr>
          <w:color w:val="000000"/>
          <w:sz w:val="24"/>
          <w:szCs w:val="24"/>
        </w:rPr>
        <w:instrText>ADDIN CSL_CITATION {"citationItems":[{"id":"ITEM-1","itemData":{"DOI":"10.1002/jppr1997274340","ISBN":"9781260116823","ISSN":"0310-6810","abstract":"The landmark text on how to achieve optimal patient outcomes through evidence-based medication therapy Pharmacotherapy: A Pathophysiologic Approach is written to help you advance the quality of patient care through evidence-based medication therapy derived from sound pharmacotherapeutic principles. The scope of this trusted classic goes beyond drug indications and dosages to include the initial selection, proper administration, and monitoring of drugs. You will find everything you need to provide safe, effective drug therapy across the full range of therapeutic categories. This edition is enriched by more than 300 expert contributors, and every chapter has been revised and updated to reflect the latest in evidence-based information and recommendations. Important features such as Key Concepts at the beginning of each chapter, Clinical Presentation tables that summarize disease signs and symptoms, and Clinical Controversies boxes that examine the complicated issues faced by students and clinicians in providing drug therapy make this text an essential learning tool for students, patient-focused pharmacists, and other health care providers. NEW TO THIS EDITION A section on personalized pharmacotherapy appears in most sections All diagnostic flow diagrams, treatment algorithms, dosing guideline recommendations, and monitoring approaches have been updated in full color to clearly distinguish treatment pathways New drug monitoring tables have been added Most of the disease-oriented chapters have incorporated evidence-based treatment guidelines that when available, include ratings of the level of evidence to support the key therapeutic approaches Twenty-four online-only chapters","author":[{"dropping-particle":"","family":"Dipiro","given":"J.T","non-dropping-particle":"","parse-names":false,"suffix":""},{"dropping-particle":"","family":"Yee","given":"G.C","non-dropping-particle":"","parse-names":false,"suffix":""},{"dropping-particle":"","family":"Posey","given":"L.M","non-dropping-particle":"","parse-names":false,"suffix":""},{"dropping-particle":"","family":"Haines","given":"S.T","non-dropping-particle":"","parse-names":false,"suffix":""},{"dropping-particle":"","family":"Nolin","given":"T.D","non-dropping-particle":"","parse-names":false,"suffix":""},{"dropping-particle":"","family":"Ellingrod","given":"V","non-dropping-particle":"","parse-names":false,"suffix":""}],"container-title":"McGraw-Hill Companies","edition":"11","id":"ITEM-1","issued":{"date-parts":[["2020"]]},"number-of-pages":"1-7727","publisher-place":"New york","title":"Pharmacotherapy: A Pathophysiologic Approach. 11th Edition","type":"book"},"uris":["http://www.mendeley.com/documents/?uuid=94cb5dda-6b40-4bf8-8cc2-0fff27d563a7"]}],"mendeley":{"formattedCitation":"(Dipiro &lt;i&gt;et al.&lt;/i&gt;, 2020)","plainTextFormattedCitation":"(Dipiro et al., 2020)","previouslyFormattedCitation":"(1)"},"properties":{"noteIndex":0},"schema":"https://github.com/citation-style-language/schema/raw/master/csl-citation.json"}</w:instrText>
      </w:r>
      <w:r>
        <w:rPr>
          <w:b/>
          <w:color w:val="000000"/>
          <w:sz w:val="24"/>
          <w:szCs w:val="24"/>
        </w:rPr>
        <w:fldChar w:fldCharType="separate"/>
      </w:r>
      <w:r w:rsidRPr="00DA390C">
        <w:rPr>
          <w:noProof/>
          <w:color w:val="000000"/>
          <w:sz w:val="24"/>
          <w:szCs w:val="24"/>
        </w:rPr>
        <w:t xml:space="preserve">(Dipiro </w:t>
      </w:r>
      <w:r w:rsidRPr="00DA390C">
        <w:rPr>
          <w:i/>
          <w:noProof/>
          <w:color w:val="000000"/>
          <w:sz w:val="24"/>
          <w:szCs w:val="24"/>
        </w:rPr>
        <w:t>et al.</w:t>
      </w:r>
      <w:r w:rsidRPr="00DA390C">
        <w:rPr>
          <w:noProof/>
          <w:color w:val="000000"/>
          <w:sz w:val="24"/>
          <w:szCs w:val="24"/>
        </w:rPr>
        <w:t>, 2020)</w:t>
      </w:r>
      <w:r>
        <w:rPr>
          <w:b/>
          <w:color w:val="000000"/>
          <w:sz w:val="24"/>
          <w:szCs w:val="24"/>
        </w:rPr>
        <w:fldChar w:fldCharType="end"/>
      </w:r>
      <w:r>
        <w:rPr>
          <w:color w:val="000000"/>
          <w:sz w:val="24"/>
          <w:szCs w:val="24"/>
        </w:rPr>
        <w:t xml:space="preserve">. Salah </w:t>
      </w:r>
      <w:proofErr w:type="spellStart"/>
      <w:r>
        <w:rPr>
          <w:color w:val="000000"/>
          <w:sz w:val="24"/>
          <w:szCs w:val="24"/>
        </w:rPr>
        <w:t>satu</w:t>
      </w:r>
      <w:proofErr w:type="spellEnd"/>
      <w:r>
        <w:rPr>
          <w:color w:val="000000"/>
          <w:sz w:val="24"/>
          <w:szCs w:val="24"/>
        </w:rPr>
        <w:t xml:space="preserve"> </w:t>
      </w:r>
      <w:proofErr w:type="spellStart"/>
      <w:r>
        <w:rPr>
          <w:color w:val="000000"/>
          <w:sz w:val="24"/>
          <w:szCs w:val="24"/>
        </w:rPr>
        <w:t>contoh</w:t>
      </w:r>
      <w:proofErr w:type="spellEnd"/>
      <w:r>
        <w:rPr>
          <w:color w:val="000000"/>
          <w:sz w:val="24"/>
          <w:szCs w:val="24"/>
        </w:rPr>
        <w:t xml:space="preserve"> </w:t>
      </w:r>
      <w:proofErr w:type="spellStart"/>
      <w:r>
        <w:rPr>
          <w:color w:val="000000"/>
          <w:sz w:val="24"/>
          <w:szCs w:val="24"/>
        </w:rPr>
        <w:t>dari</w:t>
      </w:r>
      <w:proofErr w:type="spellEnd"/>
      <w:r>
        <w:rPr>
          <w:color w:val="000000"/>
          <w:sz w:val="24"/>
          <w:szCs w:val="24"/>
        </w:rPr>
        <w:t xml:space="preserve"> </w:t>
      </w:r>
      <w:proofErr w:type="spellStart"/>
      <w:r>
        <w:rPr>
          <w:color w:val="000000"/>
          <w:sz w:val="24"/>
          <w:szCs w:val="24"/>
        </w:rPr>
        <w:t>kompliasi</w:t>
      </w:r>
      <w:proofErr w:type="spellEnd"/>
      <w:r>
        <w:rPr>
          <w:color w:val="000000"/>
          <w:sz w:val="24"/>
          <w:szCs w:val="24"/>
        </w:rPr>
        <w:t xml:space="preserve"> </w:t>
      </w:r>
      <w:proofErr w:type="spellStart"/>
      <w:r>
        <w:rPr>
          <w:color w:val="000000"/>
          <w:sz w:val="24"/>
          <w:szCs w:val="24"/>
        </w:rPr>
        <w:t>akibat</w:t>
      </w:r>
      <w:proofErr w:type="spellEnd"/>
      <w:r>
        <w:rPr>
          <w:color w:val="000000"/>
          <w:sz w:val="24"/>
          <w:szCs w:val="24"/>
        </w:rPr>
        <w:t xml:space="preserve"> DM </w:t>
      </w:r>
      <w:proofErr w:type="spellStart"/>
      <w:r>
        <w:rPr>
          <w:color w:val="000000"/>
          <w:sz w:val="24"/>
          <w:szCs w:val="24"/>
        </w:rPr>
        <w:t>adalah</w:t>
      </w:r>
      <w:proofErr w:type="spellEnd"/>
      <w:r>
        <w:rPr>
          <w:color w:val="000000"/>
          <w:sz w:val="24"/>
          <w:szCs w:val="24"/>
        </w:rPr>
        <w:t xml:space="preserve"> </w:t>
      </w:r>
      <w:proofErr w:type="spellStart"/>
      <w:r w:rsidRPr="00155B23">
        <w:rPr>
          <w:color w:val="000000"/>
          <w:sz w:val="24"/>
          <w:szCs w:val="24"/>
        </w:rPr>
        <w:t>penyakit</w:t>
      </w:r>
      <w:proofErr w:type="spellEnd"/>
      <w:r w:rsidRPr="00155B23">
        <w:rPr>
          <w:color w:val="000000"/>
          <w:sz w:val="24"/>
          <w:szCs w:val="24"/>
        </w:rPr>
        <w:t xml:space="preserve"> </w:t>
      </w:r>
      <w:proofErr w:type="spellStart"/>
      <w:r w:rsidRPr="00155B23">
        <w:rPr>
          <w:color w:val="000000"/>
          <w:sz w:val="24"/>
          <w:szCs w:val="24"/>
        </w:rPr>
        <w:t>kardiovaskular</w:t>
      </w:r>
      <w:proofErr w:type="spellEnd"/>
      <w:r w:rsidRPr="00155B23">
        <w:rPr>
          <w:color w:val="000000"/>
          <w:sz w:val="24"/>
          <w:szCs w:val="24"/>
        </w:rPr>
        <w:t xml:space="preserve"> dan </w:t>
      </w:r>
      <w:proofErr w:type="spellStart"/>
      <w:r w:rsidRPr="00155B23">
        <w:rPr>
          <w:color w:val="000000"/>
          <w:sz w:val="24"/>
          <w:szCs w:val="24"/>
        </w:rPr>
        <w:t>ginjal</w:t>
      </w:r>
      <w:proofErr w:type="spellEnd"/>
      <w:r w:rsidRPr="00155B23">
        <w:rPr>
          <w:color w:val="000000"/>
          <w:sz w:val="24"/>
          <w:szCs w:val="24"/>
        </w:rPr>
        <w:t xml:space="preserve"> </w:t>
      </w:r>
      <w:r>
        <w:rPr>
          <w:color w:val="000000"/>
          <w:sz w:val="24"/>
          <w:szCs w:val="24"/>
        </w:rPr>
        <w:t xml:space="preserve">yang </w:t>
      </w:r>
      <w:proofErr w:type="spellStart"/>
      <w:r w:rsidRPr="00155B23">
        <w:rPr>
          <w:color w:val="000000"/>
          <w:sz w:val="24"/>
          <w:szCs w:val="24"/>
        </w:rPr>
        <w:t>dapat</w:t>
      </w:r>
      <w:proofErr w:type="spellEnd"/>
      <w:r w:rsidRPr="00155B23">
        <w:rPr>
          <w:color w:val="000000"/>
          <w:sz w:val="24"/>
          <w:szCs w:val="24"/>
        </w:rPr>
        <w:t xml:space="preserve"> </w:t>
      </w:r>
      <w:proofErr w:type="spellStart"/>
      <w:r w:rsidRPr="00155B23">
        <w:rPr>
          <w:color w:val="000000"/>
          <w:sz w:val="24"/>
          <w:szCs w:val="24"/>
        </w:rPr>
        <w:t>menyebabkan</w:t>
      </w:r>
      <w:proofErr w:type="spellEnd"/>
      <w:r w:rsidRPr="00155B23">
        <w:rPr>
          <w:color w:val="000000"/>
          <w:sz w:val="24"/>
          <w:szCs w:val="24"/>
        </w:rPr>
        <w:t xml:space="preserve"> </w:t>
      </w:r>
      <w:proofErr w:type="spellStart"/>
      <w:r w:rsidRPr="00155B23">
        <w:rPr>
          <w:color w:val="000000"/>
          <w:sz w:val="24"/>
          <w:szCs w:val="24"/>
        </w:rPr>
        <w:t>morbiditas</w:t>
      </w:r>
      <w:proofErr w:type="spellEnd"/>
      <w:r w:rsidRPr="00155B23">
        <w:rPr>
          <w:color w:val="000000"/>
          <w:sz w:val="24"/>
          <w:szCs w:val="24"/>
        </w:rPr>
        <w:t xml:space="preserve"> dan </w:t>
      </w:r>
      <w:proofErr w:type="spellStart"/>
      <w:r w:rsidRPr="00155B23">
        <w:rPr>
          <w:color w:val="000000"/>
          <w:sz w:val="24"/>
          <w:szCs w:val="24"/>
        </w:rPr>
        <w:t>mortalitas</w:t>
      </w:r>
      <w:proofErr w:type="spellEnd"/>
      <w:r w:rsidRPr="00155B23">
        <w:rPr>
          <w:color w:val="000000"/>
          <w:sz w:val="24"/>
          <w:szCs w:val="24"/>
        </w:rPr>
        <w:t xml:space="preserve"> pada </w:t>
      </w:r>
      <w:proofErr w:type="spellStart"/>
      <w:r w:rsidRPr="00155B23">
        <w:rPr>
          <w:color w:val="000000"/>
          <w:sz w:val="24"/>
          <w:szCs w:val="24"/>
        </w:rPr>
        <w:t>penderita</w:t>
      </w:r>
      <w:proofErr w:type="spellEnd"/>
      <w:r w:rsidRPr="00155B23">
        <w:rPr>
          <w:color w:val="000000"/>
          <w:sz w:val="24"/>
          <w:szCs w:val="24"/>
        </w:rPr>
        <w:t xml:space="preserve"> DM</w:t>
      </w:r>
      <w:r>
        <w:rPr>
          <w:color w:val="000000"/>
          <w:sz w:val="24"/>
          <w:szCs w:val="24"/>
        </w:rPr>
        <w:t xml:space="preserve"> </w:t>
      </w:r>
      <w:r>
        <w:rPr>
          <w:b/>
          <w:color w:val="000000"/>
          <w:sz w:val="24"/>
          <w:szCs w:val="24"/>
        </w:rPr>
        <w:fldChar w:fldCharType="begin" w:fldLock="1"/>
      </w:r>
      <w:r>
        <w:rPr>
          <w:color w:val="000000"/>
          <w:sz w:val="24"/>
          <w:szCs w:val="24"/>
        </w:rPr>
        <w:instrText>ADDIN CSL_CITATION {"citationItems":[{"id":"ITEM-1","itemData":{"DOI":"10.2991/ahsr.k.210127.027","author":[{"dropping-particle":"","family":"Sukiatno","given":"Linda","non-dropping-particle":"","parse-names":false,"suffix":""},{"dropping-particle":"","family":"Kusuma","given":"Ikhwan Yuda","non-dropping-particle":"","parse-names":false,"suffix":""},{"dropping-particle":"","family":"Samodra","given":"Galih","non-dropping-particle":"","parse-names":false,"suffix":""}],"id":"ITEM-1","issue":"Ahms 2020","issued":{"date-parts":[["2021"]]},"page":"121-127","title":"Cardioprotective and Renoprotective Effects of the Use of SGLT2 Inhibitors in Diabetes Mellitus Patients","type":"article-journal","volume":"34"},"uris":["http://www.mendeley.com/documents/?uuid=b7478f85-3c4d-48a7-94ea-75e4668b306f"]}],"mendeley":{"formattedCitation":"(Sukiatno &lt;i&gt;et al.&lt;/i&gt;, 2021)","plainTextFormattedCitation":"(Sukiatno et al., 2021)","previouslyFormattedCitation":"(2)"},"properties":{"noteIndex":0},"schema":"https://github.com/citation-style-language/schema/raw/master/csl-citation.json"}</w:instrText>
      </w:r>
      <w:r>
        <w:rPr>
          <w:b/>
          <w:color w:val="000000"/>
          <w:sz w:val="24"/>
          <w:szCs w:val="24"/>
        </w:rPr>
        <w:fldChar w:fldCharType="separate"/>
      </w:r>
      <w:r w:rsidRPr="00DA390C">
        <w:rPr>
          <w:noProof/>
          <w:color w:val="000000"/>
          <w:sz w:val="24"/>
          <w:szCs w:val="24"/>
        </w:rPr>
        <w:t xml:space="preserve">(Sukiatno </w:t>
      </w:r>
      <w:r w:rsidRPr="00DA390C">
        <w:rPr>
          <w:i/>
          <w:noProof/>
          <w:color w:val="000000"/>
          <w:sz w:val="24"/>
          <w:szCs w:val="24"/>
        </w:rPr>
        <w:t>et al.</w:t>
      </w:r>
      <w:r w:rsidRPr="00DA390C">
        <w:rPr>
          <w:noProof/>
          <w:color w:val="000000"/>
          <w:sz w:val="24"/>
          <w:szCs w:val="24"/>
        </w:rPr>
        <w:t>, 2021)</w:t>
      </w:r>
      <w:r>
        <w:rPr>
          <w:b/>
          <w:color w:val="000000"/>
          <w:sz w:val="24"/>
          <w:szCs w:val="24"/>
        </w:rPr>
        <w:fldChar w:fldCharType="end"/>
      </w:r>
      <w:r>
        <w:rPr>
          <w:color w:val="000000"/>
          <w:sz w:val="24"/>
          <w:szCs w:val="24"/>
        </w:rPr>
        <w:t>.</w:t>
      </w:r>
    </w:p>
    <w:p w14:paraId="505904EE" w14:textId="77777777" w:rsidR="00006AA5" w:rsidRDefault="00006AA5" w:rsidP="00006AA5">
      <w:pPr>
        <w:pBdr>
          <w:top w:val="nil"/>
          <w:left w:val="nil"/>
          <w:bottom w:val="nil"/>
          <w:right w:val="nil"/>
          <w:between w:val="nil"/>
        </w:pBdr>
        <w:ind w:firstLine="432"/>
        <w:jc w:val="both"/>
        <w:rPr>
          <w:b/>
          <w:color w:val="000000"/>
          <w:sz w:val="24"/>
          <w:szCs w:val="24"/>
        </w:rPr>
      </w:pPr>
      <w:r w:rsidRPr="00F5550A">
        <w:rPr>
          <w:color w:val="000000"/>
          <w:sz w:val="24"/>
          <w:szCs w:val="24"/>
        </w:rPr>
        <w:t xml:space="preserve">International Diabetes Federation </w:t>
      </w:r>
      <w:proofErr w:type="spellStart"/>
      <w:r w:rsidRPr="00F5550A">
        <w:rPr>
          <w:color w:val="000000"/>
          <w:sz w:val="24"/>
          <w:szCs w:val="24"/>
        </w:rPr>
        <w:t>melaporkan</w:t>
      </w:r>
      <w:proofErr w:type="spellEnd"/>
      <w:r w:rsidRPr="00F5550A">
        <w:rPr>
          <w:color w:val="000000"/>
          <w:sz w:val="24"/>
          <w:szCs w:val="24"/>
        </w:rPr>
        <w:t xml:space="preserve"> </w:t>
      </w:r>
      <w:proofErr w:type="spellStart"/>
      <w:r w:rsidRPr="00F5550A">
        <w:rPr>
          <w:color w:val="000000"/>
          <w:sz w:val="24"/>
          <w:szCs w:val="24"/>
        </w:rPr>
        <w:t>jumlah</w:t>
      </w:r>
      <w:proofErr w:type="spellEnd"/>
      <w:r w:rsidRPr="00F5550A">
        <w:rPr>
          <w:color w:val="000000"/>
          <w:sz w:val="24"/>
          <w:szCs w:val="24"/>
        </w:rPr>
        <w:t xml:space="preserve"> </w:t>
      </w:r>
      <w:proofErr w:type="spellStart"/>
      <w:r w:rsidRPr="00F5550A">
        <w:rPr>
          <w:color w:val="000000"/>
          <w:sz w:val="24"/>
          <w:szCs w:val="24"/>
        </w:rPr>
        <w:t>pasien</w:t>
      </w:r>
      <w:proofErr w:type="spellEnd"/>
      <w:r w:rsidRPr="00F5550A">
        <w:rPr>
          <w:color w:val="000000"/>
          <w:sz w:val="24"/>
          <w:szCs w:val="24"/>
        </w:rPr>
        <w:t xml:space="preserve"> DM </w:t>
      </w:r>
      <w:proofErr w:type="spellStart"/>
      <w:r w:rsidRPr="00F5550A">
        <w:rPr>
          <w:color w:val="000000"/>
          <w:sz w:val="24"/>
          <w:szCs w:val="24"/>
        </w:rPr>
        <w:t>didunia</w:t>
      </w:r>
      <w:proofErr w:type="spellEnd"/>
      <w:r w:rsidRPr="00F5550A">
        <w:rPr>
          <w:color w:val="000000"/>
          <w:sz w:val="24"/>
          <w:szCs w:val="24"/>
        </w:rPr>
        <w:t xml:space="preserve"> pada </w:t>
      </w:r>
      <w:proofErr w:type="spellStart"/>
      <w:r w:rsidRPr="00F5550A">
        <w:rPr>
          <w:color w:val="000000"/>
          <w:sz w:val="24"/>
          <w:szCs w:val="24"/>
        </w:rPr>
        <w:t>tahun</w:t>
      </w:r>
      <w:proofErr w:type="spellEnd"/>
      <w:r w:rsidRPr="00F5550A">
        <w:rPr>
          <w:color w:val="000000"/>
          <w:sz w:val="24"/>
          <w:szCs w:val="24"/>
        </w:rPr>
        <w:t xml:space="preserve"> 2019 </w:t>
      </w:r>
      <w:proofErr w:type="spellStart"/>
      <w:r w:rsidRPr="00F5550A">
        <w:rPr>
          <w:color w:val="000000"/>
          <w:sz w:val="24"/>
          <w:szCs w:val="24"/>
        </w:rPr>
        <w:t>mencapai</w:t>
      </w:r>
      <w:proofErr w:type="spellEnd"/>
      <w:r w:rsidRPr="00F5550A">
        <w:rPr>
          <w:color w:val="000000"/>
          <w:sz w:val="24"/>
          <w:szCs w:val="24"/>
        </w:rPr>
        <w:t xml:space="preserve"> 463 </w:t>
      </w:r>
      <w:proofErr w:type="spellStart"/>
      <w:r w:rsidRPr="00F5550A">
        <w:rPr>
          <w:color w:val="000000"/>
          <w:sz w:val="24"/>
          <w:szCs w:val="24"/>
        </w:rPr>
        <w:t>juta</w:t>
      </w:r>
      <w:proofErr w:type="spellEnd"/>
      <w:r w:rsidRPr="00F5550A">
        <w:rPr>
          <w:color w:val="000000"/>
          <w:sz w:val="24"/>
          <w:szCs w:val="24"/>
        </w:rPr>
        <w:t xml:space="preserve"> </w:t>
      </w:r>
      <w:proofErr w:type="spellStart"/>
      <w:r w:rsidRPr="00F5550A">
        <w:rPr>
          <w:color w:val="000000"/>
          <w:sz w:val="24"/>
          <w:szCs w:val="24"/>
        </w:rPr>
        <w:t>jiwa</w:t>
      </w:r>
      <w:proofErr w:type="spellEnd"/>
      <w:r w:rsidRPr="00F5550A">
        <w:rPr>
          <w:color w:val="000000"/>
          <w:sz w:val="24"/>
          <w:szCs w:val="24"/>
        </w:rPr>
        <w:t xml:space="preserve"> (9,3%) dan </w:t>
      </w:r>
      <w:proofErr w:type="spellStart"/>
      <w:r w:rsidRPr="00F5550A">
        <w:rPr>
          <w:color w:val="000000"/>
          <w:sz w:val="24"/>
          <w:szCs w:val="24"/>
        </w:rPr>
        <w:t>diperkirakan</w:t>
      </w:r>
      <w:proofErr w:type="spellEnd"/>
      <w:r w:rsidRPr="00F5550A">
        <w:rPr>
          <w:color w:val="000000"/>
          <w:sz w:val="24"/>
          <w:szCs w:val="24"/>
        </w:rPr>
        <w:t xml:space="preserve"> </w:t>
      </w:r>
      <w:proofErr w:type="spellStart"/>
      <w:r w:rsidRPr="00F5550A">
        <w:rPr>
          <w:color w:val="000000"/>
          <w:sz w:val="24"/>
          <w:szCs w:val="24"/>
        </w:rPr>
        <w:t>akan</w:t>
      </w:r>
      <w:proofErr w:type="spellEnd"/>
      <w:r w:rsidRPr="00F5550A">
        <w:rPr>
          <w:color w:val="000000"/>
          <w:sz w:val="24"/>
          <w:szCs w:val="24"/>
        </w:rPr>
        <w:t xml:space="preserve"> </w:t>
      </w:r>
      <w:proofErr w:type="spellStart"/>
      <w:r w:rsidRPr="00F5550A">
        <w:rPr>
          <w:color w:val="000000"/>
          <w:sz w:val="24"/>
          <w:szCs w:val="24"/>
        </w:rPr>
        <w:t>meningkat</w:t>
      </w:r>
      <w:proofErr w:type="spellEnd"/>
      <w:r w:rsidRPr="00F5550A">
        <w:rPr>
          <w:color w:val="000000"/>
          <w:sz w:val="24"/>
          <w:szCs w:val="24"/>
        </w:rPr>
        <w:t xml:space="preserve"> 51% </w:t>
      </w:r>
      <w:proofErr w:type="spellStart"/>
      <w:r w:rsidRPr="00F5550A">
        <w:rPr>
          <w:color w:val="000000"/>
          <w:sz w:val="24"/>
          <w:szCs w:val="24"/>
        </w:rPr>
        <w:t>menjadi</w:t>
      </w:r>
      <w:proofErr w:type="spellEnd"/>
      <w:r w:rsidRPr="00F5550A">
        <w:rPr>
          <w:color w:val="000000"/>
          <w:sz w:val="24"/>
          <w:szCs w:val="24"/>
        </w:rPr>
        <w:t xml:space="preserve"> 700 </w:t>
      </w:r>
      <w:proofErr w:type="spellStart"/>
      <w:r w:rsidRPr="00F5550A">
        <w:rPr>
          <w:color w:val="000000"/>
          <w:sz w:val="24"/>
          <w:szCs w:val="24"/>
        </w:rPr>
        <w:t>juta</w:t>
      </w:r>
      <w:proofErr w:type="spellEnd"/>
      <w:r w:rsidRPr="00F5550A">
        <w:rPr>
          <w:color w:val="000000"/>
          <w:sz w:val="24"/>
          <w:szCs w:val="24"/>
        </w:rPr>
        <w:t xml:space="preserve"> </w:t>
      </w:r>
      <w:proofErr w:type="spellStart"/>
      <w:r w:rsidRPr="00F5550A">
        <w:rPr>
          <w:color w:val="000000"/>
          <w:sz w:val="24"/>
          <w:szCs w:val="24"/>
        </w:rPr>
        <w:t>jiwa</w:t>
      </w:r>
      <w:proofErr w:type="spellEnd"/>
      <w:r w:rsidRPr="00F5550A">
        <w:rPr>
          <w:color w:val="000000"/>
          <w:sz w:val="24"/>
          <w:szCs w:val="24"/>
        </w:rPr>
        <w:t xml:space="preserve"> (10,9%) pada </w:t>
      </w:r>
      <w:proofErr w:type="spellStart"/>
      <w:r w:rsidRPr="00F5550A">
        <w:rPr>
          <w:color w:val="000000"/>
          <w:sz w:val="24"/>
          <w:szCs w:val="24"/>
        </w:rPr>
        <w:t>tahun</w:t>
      </w:r>
      <w:proofErr w:type="spellEnd"/>
      <w:r w:rsidRPr="00F5550A">
        <w:rPr>
          <w:color w:val="000000"/>
          <w:sz w:val="24"/>
          <w:szCs w:val="24"/>
        </w:rPr>
        <w:t xml:space="preserve"> 2045. </w:t>
      </w:r>
      <w:proofErr w:type="spellStart"/>
      <w:r w:rsidRPr="00F5550A">
        <w:rPr>
          <w:color w:val="000000"/>
          <w:sz w:val="24"/>
          <w:szCs w:val="24"/>
        </w:rPr>
        <w:t>Saat</w:t>
      </w:r>
      <w:proofErr w:type="spellEnd"/>
      <w:r w:rsidRPr="00F5550A">
        <w:rPr>
          <w:color w:val="000000"/>
          <w:sz w:val="24"/>
          <w:szCs w:val="24"/>
        </w:rPr>
        <w:t xml:space="preserve"> </w:t>
      </w:r>
      <w:proofErr w:type="spellStart"/>
      <w:r w:rsidRPr="00F5550A">
        <w:rPr>
          <w:color w:val="000000"/>
          <w:sz w:val="24"/>
          <w:szCs w:val="24"/>
        </w:rPr>
        <w:t>ini</w:t>
      </w:r>
      <w:proofErr w:type="spellEnd"/>
      <w:r w:rsidRPr="00F5550A">
        <w:rPr>
          <w:color w:val="000000"/>
          <w:sz w:val="24"/>
          <w:szCs w:val="24"/>
        </w:rPr>
        <w:t xml:space="preserve"> </w:t>
      </w:r>
      <w:proofErr w:type="spellStart"/>
      <w:r w:rsidRPr="00F5550A">
        <w:rPr>
          <w:color w:val="000000"/>
          <w:sz w:val="24"/>
          <w:szCs w:val="24"/>
        </w:rPr>
        <w:t>jumlah</w:t>
      </w:r>
      <w:proofErr w:type="spellEnd"/>
      <w:r w:rsidRPr="00F5550A">
        <w:rPr>
          <w:color w:val="000000"/>
          <w:sz w:val="24"/>
          <w:szCs w:val="24"/>
        </w:rPr>
        <w:t xml:space="preserve"> </w:t>
      </w:r>
      <w:proofErr w:type="spellStart"/>
      <w:r w:rsidRPr="00F5550A">
        <w:rPr>
          <w:color w:val="000000"/>
          <w:sz w:val="24"/>
          <w:szCs w:val="24"/>
        </w:rPr>
        <w:t>penderita</w:t>
      </w:r>
      <w:proofErr w:type="spellEnd"/>
      <w:r w:rsidRPr="00F5550A">
        <w:rPr>
          <w:color w:val="000000"/>
          <w:sz w:val="24"/>
          <w:szCs w:val="24"/>
        </w:rPr>
        <w:t xml:space="preserve"> DM di Indonesia </w:t>
      </w:r>
      <w:proofErr w:type="spellStart"/>
      <w:r w:rsidRPr="00F5550A">
        <w:rPr>
          <w:color w:val="000000"/>
          <w:sz w:val="24"/>
          <w:szCs w:val="24"/>
        </w:rPr>
        <w:t>menduduki</w:t>
      </w:r>
      <w:proofErr w:type="spellEnd"/>
      <w:r w:rsidRPr="00F5550A">
        <w:rPr>
          <w:color w:val="000000"/>
          <w:sz w:val="24"/>
          <w:szCs w:val="24"/>
        </w:rPr>
        <w:t xml:space="preserve"> </w:t>
      </w:r>
      <w:proofErr w:type="spellStart"/>
      <w:r w:rsidRPr="00F5550A">
        <w:rPr>
          <w:color w:val="000000"/>
          <w:sz w:val="24"/>
          <w:szCs w:val="24"/>
        </w:rPr>
        <w:t>peringkat</w:t>
      </w:r>
      <w:proofErr w:type="spellEnd"/>
      <w:r w:rsidRPr="00F5550A">
        <w:rPr>
          <w:color w:val="000000"/>
          <w:sz w:val="24"/>
          <w:szCs w:val="24"/>
        </w:rPr>
        <w:t xml:space="preserve"> </w:t>
      </w:r>
      <w:proofErr w:type="spellStart"/>
      <w:r w:rsidRPr="00F5550A">
        <w:rPr>
          <w:color w:val="000000"/>
          <w:sz w:val="24"/>
          <w:szCs w:val="24"/>
        </w:rPr>
        <w:t>ketujuh</w:t>
      </w:r>
      <w:proofErr w:type="spellEnd"/>
      <w:r w:rsidRPr="00F5550A">
        <w:rPr>
          <w:color w:val="000000"/>
          <w:sz w:val="24"/>
          <w:szCs w:val="24"/>
        </w:rPr>
        <w:t xml:space="preserve"> </w:t>
      </w:r>
      <w:proofErr w:type="spellStart"/>
      <w:r w:rsidRPr="00F5550A">
        <w:rPr>
          <w:color w:val="000000"/>
          <w:sz w:val="24"/>
          <w:szCs w:val="24"/>
        </w:rPr>
        <w:t>terbanyak</w:t>
      </w:r>
      <w:proofErr w:type="spellEnd"/>
      <w:r w:rsidRPr="00F5550A">
        <w:rPr>
          <w:color w:val="000000"/>
          <w:sz w:val="24"/>
          <w:szCs w:val="24"/>
        </w:rPr>
        <w:t xml:space="preserve"> di dunia </w:t>
      </w:r>
      <w:r>
        <w:rPr>
          <w:b/>
          <w:color w:val="000000"/>
          <w:sz w:val="24"/>
          <w:szCs w:val="24"/>
        </w:rPr>
        <w:fldChar w:fldCharType="begin" w:fldLock="1"/>
      </w:r>
      <w:r>
        <w:rPr>
          <w:color w:val="000000"/>
          <w:sz w:val="24"/>
          <w:szCs w:val="24"/>
        </w:rPr>
        <w:instrText>ADDIN CSL_CITATION {"citationItems":[{"id":"ITEM-1","itemData":{"ISBN":"978-2-930229-87-4","abstract":"IDF Diabetes Atlas – Seventh Edition","author":[{"dropping-particle":"","family":"IDF","given":"","non-dropping-particle":"","parse-names":false,"suffix":""}],"container-title":"International Diabetes Federation","id":"ITEM-1","issued":{"date-parts":[["2019"]]},"number-of-pages":"1","title":"IDF Diabetes Atlas Ninth edition 2019","type":"book"},"uris":["http://www.mendeley.com/documents/?uuid=ddce1bb5-bd7b-45e9-afb0-7e60247f5d8e"]}],"mendeley":{"formattedCitation":"(IDF, 2019)","plainTextFormattedCitation":"(IDF, 2019)","previouslyFormattedCitation":"(3)"},"properties":{"noteIndex":0},"schema":"https://github.com/citation-style-language/schema/raw/master/csl-citation.json"}</w:instrText>
      </w:r>
      <w:r>
        <w:rPr>
          <w:b/>
          <w:color w:val="000000"/>
          <w:sz w:val="24"/>
          <w:szCs w:val="24"/>
        </w:rPr>
        <w:fldChar w:fldCharType="separate"/>
      </w:r>
      <w:r w:rsidRPr="00DA390C">
        <w:rPr>
          <w:noProof/>
          <w:color w:val="000000"/>
          <w:sz w:val="24"/>
          <w:szCs w:val="24"/>
        </w:rPr>
        <w:t>(IDF, 2019)</w:t>
      </w:r>
      <w:r>
        <w:rPr>
          <w:b/>
          <w:color w:val="000000"/>
          <w:sz w:val="24"/>
          <w:szCs w:val="24"/>
        </w:rPr>
        <w:fldChar w:fldCharType="end"/>
      </w:r>
      <w:r w:rsidRPr="00374843">
        <w:rPr>
          <w:color w:val="000000"/>
          <w:sz w:val="24"/>
          <w:szCs w:val="24"/>
        </w:rPr>
        <w:t xml:space="preserve">. </w:t>
      </w:r>
      <w:proofErr w:type="spellStart"/>
      <w:r w:rsidRPr="00F5550A">
        <w:rPr>
          <w:color w:val="000000"/>
          <w:sz w:val="24"/>
          <w:szCs w:val="24"/>
        </w:rPr>
        <w:t>Berdasarkan</w:t>
      </w:r>
      <w:proofErr w:type="spellEnd"/>
      <w:r w:rsidRPr="00F5550A">
        <w:rPr>
          <w:color w:val="000000"/>
          <w:sz w:val="24"/>
          <w:szCs w:val="24"/>
        </w:rPr>
        <w:t xml:space="preserve"> </w:t>
      </w:r>
      <w:proofErr w:type="spellStart"/>
      <w:r w:rsidRPr="00F5550A">
        <w:rPr>
          <w:color w:val="000000"/>
          <w:sz w:val="24"/>
          <w:szCs w:val="24"/>
        </w:rPr>
        <w:t>hasil</w:t>
      </w:r>
      <w:proofErr w:type="spellEnd"/>
      <w:r w:rsidRPr="00F5550A">
        <w:rPr>
          <w:color w:val="000000"/>
          <w:sz w:val="24"/>
          <w:szCs w:val="24"/>
        </w:rPr>
        <w:t xml:space="preserve"> </w:t>
      </w:r>
      <w:proofErr w:type="spellStart"/>
      <w:r w:rsidRPr="00F5550A">
        <w:rPr>
          <w:color w:val="000000"/>
          <w:sz w:val="24"/>
          <w:szCs w:val="24"/>
        </w:rPr>
        <w:t>Riset</w:t>
      </w:r>
      <w:proofErr w:type="spellEnd"/>
      <w:r w:rsidRPr="00F5550A">
        <w:rPr>
          <w:color w:val="000000"/>
          <w:sz w:val="24"/>
          <w:szCs w:val="24"/>
        </w:rPr>
        <w:t xml:space="preserve"> Kesehatan Dasar (</w:t>
      </w:r>
      <w:proofErr w:type="spellStart"/>
      <w:r w:rsidRPr="00F5550A">
        <w:rPr>
          <w:color w:val="000000"/>
          <w:sz w:val="24"/>
          <w:szCs w:val="24"/>
        </w:rPr>
        <w:t>Riskesdas</w:t>
      </w:r>
      <w:proofErr w:type="spellEnd"/>
      <w:r w:rsidRPr="00F5550A">
        <w:rPr>
          <w:color w:val="000000"/>
          <w:sz w:val="24"/>
          <w:szCs w:val="24"/>
        </w:rPr>
        <w:t xml:space="preserve">) 2018, </w:t>
      </w:r>
      <w:proofErr w:type="spellStart"/>
      <w:r w:rsidRPr="00F5550A">
        <w:rPr>
          <w:color w:val="000000"/>
          <w:sz w:val="24"/>
          <w:szCs w:val="24"/>
        </w:rPr>
        <w:t>angka</w:t>
      </w:r>
      <w:proofErr w:type="spellEnd"/>
      <w:r w:rsidRPr="00F5550A">
        <w:rPr>
          <w:color w:val="000000"/>
          <w:sz w:val="24"/>
          <w:szCs w:val="24"/>
        </w:rPr>
        <w:t xml:space="preserve"> </w:t>
      </w:r>
      <w:proofErr w:type="spellStart"/>
      <w:r w:rsidRPr="00F5550A">
        <w:rPr>
          <w:color w:val="000000"/>
          <w:sz w:val="24"/>
          <w:szCs w:val="24"/>
        </w:rPr>
        <w:t>prevalensi</w:t>
      </w:r>
      <w:proofErr w:type="spellEnd"/>
      <w:r w:rsidRPr="00F5550A">
        <w:rPr>
          <w:color w:val="000000"/>
          <w:sz w:val="24"/>
          <w:szCs w:val="24"/>
        </w:rPr>
        <w:t xml:space="preserve"> DM di Indonesia </w:t>
      </w:r>
      <w:proofErr w:type="spellStart"/>
      <w:r w:rsidRPr="00F5550A">
        <w:rPr>
          <w:color w:val="000000"/>
          <w:sz w:val="24"/>
          <w:szCs w:val="24"/>
        </w:rPr>
        <w:t>mengalami</w:t>
      </w:r>
      <w:proofErr w:type="spellEnd"/>
      <w:r w:rsidRPr="00F5550A">
        <w:rPr>
          <w:color w:val="000000"/>
          <w:sz w:val="24"/>
          <w:szCs w:val="24"/>
        </w:rPr>
        <w:t xml:space="preserve"> </w:t>
      </w:r>
      <w:proofErr w:type="spellStart"/>
      <w:r w:rsidRPr="00F5550A">
        <w:rPr>
          <w:color w:val="000000"/>
          <w:sz w:val="24"/>
          <w:szCs w:val="24"/>
        </w:rPr>
        <w:t>peningkatan</w:t>
      </w:r>
      <w:proofErr w:type="spellEnd"/>
      <w:r w:rsidRPr="00F5550A">
        <w:rPr>
          <w:color w:val="000000"/>
          <w:sz w:val="24"/>
          <w:szCs w:val="24"/>
        </w:rPr>
        <w:t xml:space="preserve"> </w:t>
      </w:r>
      <w:proofErr w:type="spellStart"/>
      <w:r w:rsidRPr="00F5550A">
        <w:rPr>
          <w:color w:val="000000"/>
          <w:sz w:val="24"/>
          <w:szCs w:val="24"/>
        </w:rPr>
        <w:t>dari</w:t>
      </w:r>
      <w:proofErr w:type="spellEnd"/>
      <w:r w:rsidRPr="00F5550A">
        <w:rPr>
          <w:color w:val="000000"/>
          <w:sz w:val="24"/>
          <w:szCs w:val="24"/>
        </w:rPr>
        <w:t xml:space="preserve"> 6,9% pada </w:t>
      </w:r>
      <w:proofErr w:type="spellStart"/>
      <w:r w:rsidRPr="00F5550A">
        <w:rPr>
          <w:color w:val="000000"/>
          <w:sz w:val="24"/>
          <w:szCs w:val="24"/>
        </w:rPr>
        <w:t>tahun</w:t>
      </w:r>
      <w:proofErr w:type="spellEnd"/>
      <w:r w:rsidRPr="00F5550A">
        <w:rPr>
          <w:color w:val="000000"/>
          <w:sz w:val="24"/>
          <w:szCs w:val="24"/>
        </w:rPr>
        <w:t xml:space="preserve"> 2013 </w:t>
      </w:r>
      <w:proofErr w:type="spellStart"/>
      <w:r w:rsidRPr="00F5550A">
        <w:rPr>
          <w:color w:val="000000"/>
          <w:sz w:val="24"/>
          <w:szCs w:val="24"/>
        </w:rPr>
        <w:t>menjadi</w:t>
      </w:r>
      <w:proofErr w:type="spellEnd"/>
      <w:r w:rsidRPr="00F5550A">
        <w:rPr>
          <w:color w:val="000000"/>
          <w:sz w:val="24"/>
          <w:szCs w:val="24"/>
        </w:rPr>
        <w:t xml:space="preserve"> 10,9% pada </w:t>
      </w:r>
      <w:proofErr w:type="spellStart"/>
      <w:r w:rsidRPr="00F5550A">
        <w:rPr>
          <w:color w:val="000000"/>
          <w:sz w:val="24"/>
          <w:szCs w:val="24"/>
        </w:rPr>
        <w:t>tahun</w:t>
      </w:r>
      <w:proofErr w:type="spellEnd"/>
      <w:r w:rsidRPr="00F5550A">
        <w:rPr>
          <w:color w:val="000000"/>
          <w:sz w:val="24"/>
          <w:szCs w:val="24"/>
        </w:rPr>
        <w:t xml:space="preserve"> 2018 </w:t>
      </w:r>
      <w:r>
        <w:rPr>
          <w:b/>
          <w:color w:val="000000"/>
          <w:sz w:val="24"/>
          <w:szCs w:val="24"/>
        </w:rPr>
        <w:fldChar w:fldCharType="begin" w:fldLock="1"/>
      </w:r>
      <w:r>
        <w:rPr>
          <w:color w:val="000000"/>
          <w:sz w:val="24"/>
          <w:szCs w:val="24"/>
        </w:rPr>
        <w:instrText>ADDIN CSL_CITATION {"citationItems":[{"id":"ITEM-1","itemData":{"DOI":"10.1088/1751-8113/44/8/085201","ISBN":"978-602-8937-24-5","ISSN":"17518113","PMID":"15991970","abstract":"We study a family of \"classical\" orthogonal polynomials which satisfy (apart from a 3-term recurrence relation) an eigenvalue problem with a differential operator of Dunkl-type. These polynomials can be obtained from the little $q$-Jacobi polynomials in the limit $q=-1$. We also show that these polynomials provide a nontrivial realization of the Askey-Wilson algebra for $q=-1$.","author":[{"dropping-particle":"","family":"Riskesdas","given":"","non-dropping-particle":"","parse-names":false,"suffix":""}],"container-title":"Journal of Physics A: Mathematical and Theoretical","id":"ITEM-1","issue":"8","issued":{"date-parts":[["2018"]]},"page":"1-200","title":"Hasil Utama Riset Kesehata Dasar (RISKESDAS)","type":"article-journal","volume":"44"},"uris":["http://www.mendeley.com/documents/?uuid=1d995b44-bb4b-40a0-8e2a-4125fcd7454e"]}],"mendeley":{"formattedCitation":"(Riskesdas, 2018)","plainTextFormattedCitation":"(Riskesdas, 2018)","previouslyFormattedCitation":"(4)"},"properties":{"noteIndex":0},"schema":"https://github.com/citation-style-language/schema/raw/master/csl-citation.json"}</w:instrText>
      </w:r>
      <w:r>
        <w:rPr>
          <w:b/>
          <w:color w:val="000000"/>
          <w:sz w:val="24"/>
          <w:szCs w:val="24"/>
        </w:rPr>
        <w:fldChar w:fldCharType="separate"/>
      </w:r>
      <w:r w:rsidRPr="00DA390C">
        <w:rPr>
          <w:noProof/>
          <w:color w:val="000000"/>
          <w:sz w:val="24"/>
          <w:szCs w:val="24"/>
        </w:rPr>
        <w:t>(Riskesdas, 2018)</w:t>
      </w:r>
      <w:r>
        <w:rPr>
          <w:b/>
          <w:color w:val="000000"/>
          <w:sz w:val="24"/>
          <w:szCs w:val="24"/>
        </w:rPr>
        <w:fldChar w:fldCharType="end"/>
      </w:r>
      <w:r>
        <w:rPr>
          <w:color w:val="000000"/>
          <w:sz w:val="24"/>
          <w:szCs w:val="24"/>
        </w:rPr>
        <w:t>.</w:t>
      </w:r>
    </w:p>
    <w:p w14:paraId="3732C1E6" w14:textId="77777777" w:rsidR="00006AA5" w:rsidRDefault="00006AA5" w:rsidP="00006AA5">
      <w:pPr>
        <w:pBdr>
          <w:top w:val="nil"/>
          <w:left w:val="nil"/>
          <w:bottom w:val="nil"/>
          <w:right w:val="nil"/>
          <w:between w:val="nil"/>
        </w:pBdr>
        <w:ind w:firstLine="432"/>
        <w:jc w:val="both"/>
        <w:rPr>
          <w:b/>
          <w:color w:val="000000"/>
          <w:sz w:val="24"/>
          <w:szCs w:val="24"/>
        </w:rPr>
      </w:pPr>
      <w:r w:rsidRPr="00F5550A">
        <w:rPr>
          <w:color w:val="000000"/>
          <w:sz w:val="24"/>
          <w:szCs w:val="24"/>
        </w:rPr>
        <w:t xml:space="preserve">Salah </w:t>
      </w:r>
      <w:proofErr w:type="spellStart"/>
      <w:r w:rsidRPr="00F5550A">
        <w:rPr>
          <w:color w:val="000000"/>
          <w:sz w:val="24"/>
          <w:szCs w:val="24"/>
        </w:rPr>
        <w:t>satu</w:t>
      </w:r>
      <w:proofErr w:type="spellEnd"/>
      <w:r w:rsidRPr="00F5550A">
        <w:rPr>
          <w:color w:val="000000"/>
          <w:sz w:val="24"/>
          <w:szCs w:val="24"/>
        </w:rPr>
        <w:t xml:space="preserve"> oral anti </w:t>
      </w:r>
      <w:proofErr w:type="spellStart"/>
      <w:r w:rsidRPr="00F5550A">
        <w:rPr>
          <w:color w:val="000000"/>
          <w:sz w:val="24"/>
          <w:szCs w:val="24"/>
        </w:rPr>
        <w:t>diabetik</w:t>
      </w:r>
      <w:proofErr w:type="spellEnd"/>
      <w:r w:rsidRPr="00F5550A">
        <w:rPr>
          <w:color w:val="000000"/>
          <w:sz w:val="24"/>
          <w:szCs w:val="24"/>
        </w:rPr>
        <w:t xml:space="preserve"> yang </w:t>
      </w:r>
      <w:proofErr w:type="spellStart"/>
      <w:r w:rsidRPr="00F5550A">
        <w:rPr>
          <w:color w:val="000000"/>
          <w:sz w:val="24"/>
          <w:szCs w:val="24"/>
        </w:rPr>
        <w:t>baru</w:t>
      </w:r>
      <w:proofErr w:type="spellEnd"/>
      <w:r w:rsidRPr="00F5550A">
        <w:rPr>
          <w:color w:val="000000"/>
          <w:sz w:val="24"/>
          <w:szCs w:val="24"/>
        </w:rPr>
        <w:t xml:space="preserve"> </w:t>
      </w:r>
      <w:proofErr w:type="spellStart"/>
      <w:r w:rsidRPr="00F5550A">
        <w:rPr>
          <w:color w:val="000000"/>
          <w:sz w:val="24"/>
          <w:szCs w:val="24"/>
        </w:rPr>
        <w:t>adalah</w:t>
      </w:r>
      <w:proofErr w:type="spellEnd"/>
      <w:r w:rsidRPr="00F5550A">
        <w:rPr>
          <w:color w:val="000000"/>
          <w:sz w:val="24"/>
          <w:szCs w:val="24"/>
        </w:rPr>
        <w:t xml:space="preserve"> </w:t>
      </w:r>
      <w:proofErr w:type="spellStart"/>
      <w:r w:rsidRPr="00F5550A">
        <w:rPr>
          <w:color w:val="000000"/>
          <w:sz w:val="24"/>
          <w:szCs w:val="24"/>
        </w:rPr>
        <w:t>obat</w:t>
      </w:r>
      <w:proofErr w:type="spellEnd"/>
      <w:r w:rsidRPr="00F5550A">
        <w:rPr>
          <w:color w:val="000000"/>
          <w:sz w:val="24"/>
          <w:szCs w:val="24"/>
        </w:rPr>
        <w:t xml:space="preserve"> </w:t>
      </w:r>
      <w:proofErr w:type="spellStart"/>
      <w:r w:rsidRPr="00F5550A">
        <w:rPr>
          <w:color w:val="000000"/>
          <w:sz w:val="24"/>
          <w:szCs w:val="24"/>
        </w:rPr>
        <w:t>golongan</w:t>
      </w:r>
      <w:proofErr w:type="spellEnd"/>
      <w:r w:rsidRPr="00F5550A">
        <w:rPr>
          <w:color w:val="000000"/>
          <w:sz w:val="24"/>
          <w:szCs w:val="24"/>
        </w:rPr>
        <w:t xml:space="preserve"> sodium glucose cotransporter 2 inhibitor (SGLT-2 inhibitor) </w:t>
      </w:r>
      <w:proofErr w:type="spellStart"/>
      <w:r w:rsidRPr="00F5550A">
        <w:rPr>
          <w:color w:val="000000"/>
          <w:sz w:val="24"/>
          <w:szCs w:val="24"/>
        </w:rPr>
        <w:t>yaitu</w:t>
      </w:r>
      <w:proofErr w:type="spellEnd"/>
      <w:r w:rsidRPr="00F5550A">
        <w:rPr>
          <w:color w:val="000000"/>
          <w:sz w:val="24"/>
          <w:szCs w:val="24"/>
        </w:rPr>
        <w:t xml:space="preserve"> dapagliflozin. Dapagliflozin </w:t>
      </w:r>
      <w:proofErr w:type="spellStart"/>
      <w:r w:rsidRPr="00F5550A">
        <w:rPr>
          <w:color w:val="000000"/>
          <w:sz w:val="24"/>
          <w:szCs w:val="24"/>
        </w:rPr>
        <w:t>bekerja</w:t>
      </w:r>
      <w:proofErr w:type="spellEnd"/>
      <w:r w:rsidRPr="00F5550A">
        <w:rPr>
          <w:color w:val="000000"/>
          <w:sz w:val="24"/>
          <w:szCs w:val="24"/>
        </w:rPr>
        <w:t xml:space="preserve"> </w:t>
      </w:r>
      <w:proofErr w:type="spellStart"/>
      <w:r w:rsidRPr="00F5550A">
        <w:rPr>
          <w:color w:val="000000"/>
          <w:sz w:val="24"/>
          <w:szCs w:val="24"/>
        </w:rPr>
        <w:t>dengan</w:t>
      </w:r>
      <w:proofErr w:type="spellEnd"/>
      <w:r w:rsidRPr="00F5550A">
        <w:rPr>
          <w:color w:val="000000"/>
          <w:sz w:val="24"/>
          <w:szCs w:val="24"/>
        </w:rPr>
        <w:t xml:space="preserve"> </w:t>
      </w:r>
      <w:proofErr w:type="spellStart"/>
      <w:r w:rsidRPr="00F5550A">
        <w:rPr>
          <w:color w:val="000000"/>
          <w:sz w:val="24"/>
          <w:szCs w:val="24"/>
        </w:rPr>
        <w:t>cara</w:t>
      </w:r>
      <w:proofErr w:type="spellEnd"/>
      <w:r w:rsidRPr="00F5550A">
        <w:rPr>
          <w:color w:val="000000"/>
          <w:sz w:val="24"/>
          <w:szCs w:val="24"/>
        </w:rPr>
        <w:t xml:space="preserve"> </w:t>
      </w:r>
      <w:proofErr w:type="spellStart"/>
      <w:r w:rsidRPr="00F5550A">
        <w:rPr>
          <w:color w:val="000000"/>
          <w:sz w:val="24"/>
          <w:szCs w:val="24"/>
        </w:rPr>
        <w:t>menghambat</w:t>
      </w:r>
      <w:proofErr w:type="spellEnd"/>
      <w:r w:rsidRPr="00F5550A">
        <w:rPr>
          <w:color w:val="000000"/>
          <w:sz w:val="24"/>
          <w:szCs w:val="24"/>
        </w:rPr>
        <w:t xml:space="preserve"> </w:t>
      </w:r>
      <w:proofErr w:type="spellStart"/>
      <w:r w:rsidRPr="00F5550A">
        <w:rPr>
          <w:color w:val="000000"/>
          <w:sz w:val="24"/>
          <w:szCs w:val="24"/>
        </w:rPr>
        <w:t>reabsorpsi</w:t>
      </w:r>
      <w:proofErr w:type="spellEnd"/>
      <w:r w:rsidRPr="00F5550A">
        <w:rPr>
          <w:color w:val="000000"/>
          <w:sz w:val="24"/>
          <w:szCs w:val="24"/>
        </w:rPr>
        <w:t xml:space="preserve"> </w:t>
      </w:r>
      <w:proofErr w:type="spellStart"/>
      <w:r w:rsidRPr="00F5550A">
        <w:rPr>
          <w:color w:val="000000"/>
          <w:sz w:val="24"/>
          <w:szCs w:val="24"/>
        </w:rPr>
        <w:t>glukosa</w:t>
      </w:r>
      <w:proofErr w:type="spellEnd"/>
      <w:r w:rsidRPr="00F5550A">
        <w:rPr>
          <w:color w:val="000000"/>
          <w:sz w:val="24"/>
          <w:szCs w:val="24"/>
        </w:rPr>
        <w:t xml:space="preserve"> dan </w:t>
      </w:r>
      <w:proofErr w:type="spellStart"/>
      <w:r w:rsidRPr="00F5550A">
        <w:rPr>
          <w:color w:val="000000"/>
          <w:sz w:val="24"/>
          <w:szCs w:val="24"/>
        </w:rPr>
        <w:t>memfasilitasi</w:t>
      </w:r>
      <w:proofErr w:type="spellEnd"/>
      <w:r w:rsidRPr="00F5550A">
        <w:rPr>
          <w:color w:val="000000"/>
          <w:sz w:val="24"/>
          <w:szCs w:val="24"/>
        </w:rPr>
        <w:t xml:space="preserve"> </w:t>
      </w:r>
      <w:proofErr w:type="spellStart"/>
      <w:r w:rsidRPr="00F5550A">
        <w:rPr>
          <w:color w:val="000000"/>
          <w:sz w:val="24"/>
          <w:szCs w:val="24"/>
        </w:rPr>
        <w:t>ekskresi</w:t>
      </w:r>
      <w:proofErr w:type="spellEnd"/>
      <w:r w:rsidRPr="00F5550A">
        <w:rPr>
          <w:color w:val="000000"/>
          <w:sz w:val="24"/>
          <w:szCs w:val="24"/>
        </w:rPr>
        <w:t xml:space="preserve"> </w:t>
      </w:r>
      <w:proofErr w:type="spellStart"/>
      <w:r w:rsidRPr="00F5550A">
        <w:rPr>
          <w:color w:val="000000"/>
          <w:sz w:val="24"/>
          <w:szCs w:val="24"/>
        </w:rPr>
        <w:t>melalui</w:t>
      </w:r>
      <w:proofErr w:type="spellEnd"/>
      <w:r w:rsidRPr="00F5550A">
        <w:rPr>
          <w:color w:val="000000"/>
          <w:sz w:val="24"/>
          <w:szCs w:val="24"/>
        </w:rPr>
        <w:t xml:space="preserve"> </w:t>
      </w:r>
      <w:proofErr w:type="spellStart"/>
      <w:r w:rsidRPr="00F5550A">
        <w:rPr>
          <w:color w:val="000000"/>
          <w:sz w:val="24"/>
          <w:szCs w:val="24"/>
        </w:rPr>
        <w:t>urin</w:t>
      </w:r>
      <w:proofErr w:type="spellEnd"/>
      <w:r w:rsidRPr="00F5550A">
        <w:rPr>
          <w:color w:val="000000"/>
          <w:sz w:val="24"/>
          <w:szCs w:val="24"/>
        </w:rPr>
        <w:t xml:space="preserve"> </w:t>
      </w:r>
      <w:proofErr w:type="spellStart"/>
      <w:r w:rsidRPr="00F5550A">
        <w:rPr>
          <w:color w:val="000000"/>
          <w:sz w:val="24"/>
          <w:szCs w:val="24"/>
        </w:rPr>
        <w:t>dengan</w:t>
      </w:r>
      <w:proofErr w:type="spellEnd"/>
      <w:r w:rsidRPr="00F5550A">
        <w:rPr>
          <w:color w:val="000000"/>
          <w:sz w:val="24"/>
          <w:szCs w:val="24"/>
        </w:rPr>
        <w:t xml:space="preserve"> </w:t>
      </w:r>
      <w:proofErr w:type="spellStart"/>
      <w:r w:rsidRPr="00F5550A">
        <w:rPr>
          <w:color w:val="000000"/>
          <w:sz w:val="24"/>
          <w:szCs w:val="24"/>
        </w:rPr>
        <w:t>menghambat</w:t>
      </w:r>
      <w:proofErr w:type="spellEnd"/>
      <w:r w:rsidRPr="00F5550A">
        <w:rPr>
          <w:color w:val="000000"/>
          <w:sz w:val="24"/>
          <w:szCs w:val="24"/>
        </w:rPr>
        <w:t xml:space="preserve"> sodium-</w:t>
      </w:r>
      <w:proofErr w:type="spellStart"/>
      <w:r w:rsidRPr="00F5550A">
        <w:rPr>
          <w:color w:val="000000"/>
          <w:sz w:val="24"/>
          <w:szCs w:val="24"/>
        </w:rPr>
        <w:t>glukose</w:t>
      </w:r>
      <w:proofErr w:type="spellEnd"/>
      <w:r w:rsidRPr="00F5550A">
        <w:rPr>
          <w:color w:val="000000"/>
          <w:sz w:val="24"/>
          <w:szCs w:val="24"/>
        </w:rPr>
        <w:t xml:space="preserve"> cotransporter-2 </w:t>
      </w:r>
      <w:proofErr w:type="spellStart"/>
      <w:r w:rsidRPr="00F5550A">
        <w:rPr>
          <w:color w:val="000000"/>
          <w:sz w:val="24"/>
          <w:szCs w:val="24"/>
        </w:rPr>
        <w:t>dalam</w:t>
      </w:r>
      <w:proofErr w:type="spellEnd"/>
      <w:r w:rsidRPr="00F5550A">
        <w:rPr>
          <w:color w:val="000000"/>
          <w:sz w:val="24"/>
          <w:szCs w:val="24"/>
        </w:rPr>
        <w:t xml:space="preserve"> </w:t>
      </w:r>
      <w:proofErr w:type="spellStart"/>
      <w:r w:rsidRPr="00F5550A">
        <w:rPr>
          <w:color w:val="000000"/>
          <w:sz w:val="24"/>
          <w:szCs w:val="24"/>
        </w:rPr>
        <w:t>tubulus</w:t>
      </w:r>
      <w:proofErr w:type="spellEnd"/>
      <w:r w:rsidRPr="00F5550A">
        <w:rPr>
          <w:color w:val="000000"/>
          <w:sz w:val="24"/>
          <w:szCs w:val="24"/>
        </w:rPr>
        <w:t xml:space="preserve"> </w:t>
      </w:r>
      <w:proofErr w:type="spellStart"/>
      <w:r w:rsidRPr="00F5550A">
        <w:rPr>
          <w:color w:val="000000"/>
          <w:sz w:val="24"/>
          <w:szCs w:val="24"/>
        </w:rPr>
        <w:t>proksimal</w:t>
      </w:r>
      <w:proofErr w:type="spellEnd"/>
      <w:r w:rsidRPr="00F5550A">
        <w:rPr>
          <w:color w:val="000000"/>
          <w:sz w:val="24"/>
          <w:szCs w:val="24"/>
        </w:rPr>
        <w:t xml:space="preserve">, yang </w:t>
      </w:r>
      <w:proofErr w:type="spellStart"/>
      <w:r w:rsidRPr="00F5550A">
        <w:rPr>
          <w:color w:val="000000"/>
          <w:sz w:val="24"/>
          <w:szCs w:val="24"/>
        </w:rPr>
        <w:t>menghasilkan</w:t>
      </w:r>
      <w:proofErr w:type="spellEnd"/>
      <w:r w:rsidRPr="00F5550A">
        <w:rPr>
          <w:color w:val="000000"/>
          <w:sz w:val="24"/>
          <w:szCs w:val="24"/>
        </w:rPr>
        <w:t xml:space="preserve"> </w:t>
      </w:r>
      <w:proofErr w:type="spellStart"/>
      <w:r w:rsidRPr="00F5550A">
        <w:rPr>
          <w:color w:val="000000"/>
          <w:sz w:val="24"/>
          <w:szCs w:val="24"/>
        </w:rPr>
        <w:t>penurunan</w:t>
      </w:r>
      <w:proofErr w:type="spellEnd"/>
      <w:r w:rsidRPr="00F5550A">
        <w:rPr>
          <w:color w:val="000000"/>
          <w:sz w:val="24"/>
          <w:szCs w:val="24"/>
        </w:rPr>
        <w:t xml:space="preserve"> gula </w:t>
      </w:r>
      <w:proofErr w:type="spellStart"/>
      <w:r w:rsidRPr="00F5550A">
        <w:rPr>
          <w:color w:val="000000"/>
          <w:sz w:val="24"/>
          <w:szCs w:val="24"/>
        </w:rPr>
        <w:t>dar</w:t>
      </w:r>
      <w:r>
        <w:rPr>
          <w:color w:val="000000"/>
          <w:sz w:val="24"/>
          <w:szCs w:val="24"/>
        </w:rPr>
        <w:t>ah</w:t>
      </w:r>
      <w:proofErr w:type="spellEnd"/>
      <w:r>
        <w:rPr>
          <w:color w:val="000000"/>
          <w:sz w:val="24"/>
          <w:szCs w:val="24"/>
        </w:rPr>
        <w:t xml:space="preserve"> </w:t>
      </w:r>
      <w:r>
        <w:rPr>
          <w:b/>
          <w:color w:val="000000"/>
          <w:sz w:val="24"/>
          <w:szCs w:val="24"/>
        </w:rPr>
        <w:fldChar w:fldCharType="begin" w:fldLock="1"/>
      </w:r>
      <w:r>
        <w:rPr>
          <w:color w:val="000000"/>
          <w:sz w:val="24"/>
          <w:szCs w:val="24"/>
        </w:rPr>
        <w:instrText>ADDIN CSL_CITATION {"citationItems":[{"id":"ITEM-1","itemData":{"DOI":"10.1111/ijcp.12937","ISSN":"17421241","PMID":"28440009","abstract":"Aims: Sodium-glucose co-transporter type 2 (SGLT2) inhibitors are a new class of anti-hyperglycaemic agents in type 2 diabetes mellitus (T2DM). This review examines their mechanism of action and provides an overview of safety and efficacy from the main studies of SGLT2 inhibitors marketed in the United States and Europe, namely, canagliflozin, dapagliflozin and empagliflozin. Methods: We searched the PubMed database to identify relevant publications on the mechanism of action of SGLT2 inhibitors and clinical trial reports. Results: Clinical trials in patients with T2DM have shown significant improvements in glycaemic control vs placebo with canagliflozin, dapagliflozin and empagliflozin: patients were more likely to reach target glycated haemoglobin levels compared with patients receiving placebo. All SGLT2 inhibitors also led to modest reductions in body weight and blood pressure vs placebo. Generally, all agents were well tolerated, with the most common adverse events with this class being genital mycotic infections and urinary tract infections. Hypoglycaemia was reported at rates similar to those seen with placebo, except when SGLT2 inhibitors were given in combination with insulin or an insulin secretagogue. Long-term outcome data are available only for empagliflozin: in the EMPA-REG OUTCOME study, empagliflozin demonstrated reduced risk of the composite end-point of 3-point major adverse cardiovascular events (cardiovascular death, non-fatal myocardial infarction or non-fatal stroke), primarily because of a significant reduction in cardiovascular mortality. Conclusions: SGLT2 inhibitors are an exciting addition to the list of available agents for T2DM, and may be suitable for various types of patients who need additional glycaemic control.","author":[{"dropping-particle":"","family":"Paresh","given":"D","non-dropping-particle":"","parse-names":false,"suffix":""},{"dropping-particle":"","family":"Chaudhuri","given":"A","non-dropping-particle":"","parse-names":false,"suffix":""}],"container-title":"International Journal of Clinical Practice","id":"ITEM-1","issue":"5","issued":{"date-parts":[["2017"]]},"page":"1-14","title":"Sodium-glucose co-transporter 2 inhibitors for type 2 diabetes mellitus: An overview for the primary care physician","type":"article-journal","volume":"71"},"uris":["http://www.mendeley.com/documents/?uuid=c04ff7d5-4ea6-461f-a6ac-36aa90cbfdd8"]}],"mendeley":{"formattedCitation":"(Paresh and Chaudhuri, 2017)","plainTextFormattedCitation":"(Paresh and Chaudhuri, 2017)","previouslyFormattedCitation":"(5)"},"properties":{"noteIndex":0},"schema":"https://github.com/citation-style-language/schema/raw/master/csl-citation.json"}</w:instrText>
      </w:r>
      <w:r>
        <w:rPr>
          <w:b/>
          <w:color w:val="000000"/>
          <w:sz w:val="24"/>
          <w:szCs w:val="24"/>
        </w:rPr>
        <w:fldChar w:fldCharType="separate"/>
      </w:r>
      <w:r w:rsidRPr="00DA390C">
        <w:rPr>
          <w:noProof/>
          <w:color w:val="000000"/>
          <w:sz w:val="24"/>
          <w:szCs w:val="24"/>
        </w:rPr>
        <w:t>(Paresh and Chaudhuri, 2017)</w:t>
      </w:r>
      <w:r>
        <w:rPr>
          <w:b/>
          <w:color w:val="000000"/>
          <w:sz w:val="24"/>
          <w:szCs w:val="24"/>
        </w:rPr>
        <w:fldChar w:fldCharType="end"/>
      </w:r>
      <w:r>
        <w:rPr>
          <w:color w:val="000000"/>
          <w:sz w:val="24"/>
          <w:szCs w:val="24"/>
        </w:rPr>
        <w:t xml:space="preserve">. </w:t>
      </w:r>
    </w:p>
    <w:p w14:paraId="088D4FD6" w14:textId="77777777" w:rsidR="00006AA5" w:rsidRDefault="00006AA5" w:rsidP="00006AA5">
      <w:pPr>
        <w:pBdr>
          <w:top w:val="nil"/>
          <w:left w:val="nil"/>
          <w:bottom w:val="nil"/>
          <w:right w:val="nil"/>
          <w:between w:val="nil"/>
        </w:pBdr>
        <w:ind w:firstLine="432"/>
        <w:jc w:val="both"/>
        <w:rPr>
          <w:b/>
          <w:color w:val="000000"/>
          <w:sz w:val="24"/>
          <w:szCs w:val="24"/>
        </w:rPr>
      </w:pPr>
      <w:proofErr w:type="spellStart"/>
      <w:r w:rsidRPr="00374843">
        <w:rPr>
          <w:color w:val="000000"/>
          <w:sz w:val="24"/>
          <w:szCs w:val="24"/>
        </w:rPr>
        <w:t>Pemberian</w:t>
      </w:r>
      <w:proofErr w:type="spellEnd"/>
      <w:r w:rsidRPr="00374843">
        <w:rPr>
          <w:color w:val="000000"/>
          <w:sz w:val="24"/>
          <w:szCs w:val="24"/>
        </w:rPr>
        <w:t xml:space="preserve"> </w:t>
      </w:r>
      <w:proofErr w:type="spellStart"/>
      <w:r w:rsidRPr="00374843">
        <w:rPr>
          <w:color w:val="000000"/>
          <w:sz w:val="24"/>
          <w:szCs w:val="24"/>
        </w:rPr>
        <w:t>obat</w:t>
      </w:r>
      <w:proofErr w:type="spellEnd"/>
      <w:r w:rsidRPr="00374843">
        <w:rPr>
          <w:color w:val="000000"/>
          <w:sz w:val="24"/>
          <w:szCs w:val="24"/>
        </w:rPr>
        <w:t xml:space="preserve"> </w:t>
      </w:r>
      <w:proofErr w:type="spellStart"/>
      <w:r w:rsidRPr="00374843">
        <w:rPr>
          <w:color w:val="000000"/>
          <w:sz w:val="24"/>
          <w:szCs w:val="24"/>
        </w:rPr>
        <w:t>antihiperglikemia</w:t>
      </w:r>
      <w:proofErr w:type="spellEnd"/>
      <w:r w:rsidRPr="00374843">
        <w:rPr>
          <w:color w:val="000000"/>
          <w:sz w:val="24"/>
          <w:szCs w:val="24"/>
        </w:rPr>
        <w:t xml:space="preserve"> oral </w:t>
      </w:r>
      <w:proofErr w:type="spellStart"/>
      <w:r w:rsidRPr="00374843">
        <w:rPr>
          <w:color w:val="000000"/>
          <w:sz w:val="24"/>
          <w:szCs w:val="24"/>
        </w:rPr>
        <w:t>maupun</w:t>
      </w:r>
      <w:proofErr w:type="spellEnd"/>
      <w:r w:rsidRPr="00374843">
        <w:rPr>
          <w:color w:val="000000"/>
          <w:sz w:val="24"/>
          <w:szCs w:val="24"/>
        </w:rPr>
        <w:t xml:space="preserve"> insulin </w:t>
      </w:r>
      <w:proofErr w:type="spellStart"/>
      <w:r w:rsidRPr="00374843">
        <w:rPr>
          <w:color w:val="000000"/>
          <w:sz w:val="24"/>
          <w:szCs w:val="24"/>
        </w:rPr>
        <w:t>selalu</w:t>
      </w:r>
      <w:proofErr w:type="spellEnd"/>
      <w:r w:rsidRPr="00374843">
        <w:rPr>
          <w:color w:val="000000"/>
          <w:sz w:val="24"/>
          <w:szCs w:val="24"/>
        </w:rPr>
        <w:t xml:space="preserve"> </w:t>
      </w:r>
      <w:proofErr w:type="spellStart"/>
      <w:r w:rsidRPr="00374843">
        <w:rPr>
          <w:color w:val="000000"/>
          <w:sz w:val="24"/>
          <w:szCs w:val="24"/>
        </w:rPr>
        <w:t>dimulai</w:t>
      </w:r>
      <w:proofErr w:type="spellEnd"/>
      <w:r w:rsidRPr="00374843">
        <w:rPr>
          <w:color w:val="000000"/>
          <w:sz w:val="24"/>
          <w:szCs w:val="24"/>
        </w:rPr>
        <w:t xml:space="preserve"> </w:t>
      </w:r>
      <w:proofErr w:type="spellStart"/>
      <w:r w:rsidRPr="00374843">
        <w:rPr>
          <w:color w:val="000000"/>
          <w:sz w:val="24"/>
          <w:szCs w:val="24"/>
        </w:rPr>
        <w:t>dengan</w:t>
      </w:r>
      <w:proofErr w:type="spellEnd"/>
      <w:r w:rsidRPr="00374843">
        <w:rPr>
          <w:color w:val="000000"/>
          <w:sz w:val="24"/>
          <w:szCs w:val="24"/>
        </w:rPr>
        <w:t xml:space="preserve"> </w:t>
      </w:r>
      <w:proofErr w:type="spellStart"/>
      <w:r w:rsidRPr="00374843">
        <w:rPr>
          <w:color w:val="000000"/>
          <w:sz w:val="24"/>
          <w:szCs w:val="24"/>
        </w:rPr>
        <w:t>dosis</w:t>
      </w:r>
      <w:proofErr w:type="spellEnd"/>
      <w:r w:rsidRPr="00374843">
        <w:rPr>
          <w:color w:val="000000"/>
          <w:sz w:val="24"/>
          <w:szCs w:val="24"/>
        </w:rPr>
        <w:t xml:space="preserve"> </w:t>
      </w:r>
      <w:proofErr w:type="spellStart"/>
      <w:r w:rsidRPr="00374843">
        <w:rPr>
          <w:color w:val="000000"/>
          <w:sz w:val="24"/>
          <w:szCs w:val="24"/>
        </w:rPr>
        <w:t>rendah</w:t>
      </w:r>
      <w:proofErr w:type="spellEnd"/>
      <w:r w:rsidRPr="00374843">
        <w:rPr>
          <w:color w:val="000000"/>
          <w:sz w:val="24"/>
          <w:szCs w:val="24"/>
        </w:rPr>
        <w:t xml:space="preserve">, </w:t>
      </w:r>
      <w:proofErr w:type="spellStart"/>
      <w:r w:rsidRPr="00374843">
        <w:rPr>
          <w:color w:val="000000"/>
          <w:sz w:val="24"/>
          <w:szCs w:val="24"/>
        </w:rPr>
        <w:t>untuk</w:t>
      </w:r>
      <w:proofErr w:type="spellEnd"/>
      <w:r w:rsidRPr="00374843">
        <w:rPr>
          <w:color w:val="000000"/>
          <w:sz w:val="24"/>
          <w:szCs w:val="24"/>
        </w:rPr>
        <w:t xml:space="preserve"> </w:t>
      </w:r>
      <w:proofErr w:type="spellStart"/>
      <w:r w:rsidRPr="00374843">
        <w:rPr>
          <w:color w:val="000000"/>
          <w:sz w:val="24"/>
          <w:szCs w:val="24"/>
        </w:rPr>
        <w:t>kemudian</w:t>
      </w:r>
      <w:proofErr w:type="spellEnd"/>
      <w:r w:rsidRPr="00374843">
        <w:rPr>
          <w:color w:val="000000"/>
          <w:sz w:val="24"/>
          <w:szCs w:val="24"/>
        </w:rPr>
        <w:t xml:space="preserve"> </w:t>
      </w:r>
      <w:proofErr w:type="spellStart"/>
      <w:r w:rsidRPr="00374843">
        <w:rPr>
          <w:color w:val="000000"/>
          <w:sz w:val="24"/>
          <w:szCs w:val="24"/>
        </w:rPr>
        <w:t>dinaikkan</w:t>
      </w:r>
      <w:proofErr w:type="spellEnd"/>
      <w:r w:rsidRPr="00374843">
        <w:rPr>
          <w:color w:val="000000"/>
          <w:sz w:val="24"/>
          <w:szCs w:val="24"/>
        </w:rPr>
        <w:t xml:space="preserve"> </w:t>
      </w:r>
      <w:proofErr w:type="spellStart"/>
      <w:r w:rsidRPr="00374843">
        <w:rPr>
          <w:color w:val="000000"/>
          <w:sz w:val="24"/>
          <w:szCs w:val="24"/>
        </w:rPr>
        <w:t>secara</w:t>
      </w:r>
      <w:proofErr w:type="spellEnd"/>
      <w:r w:rsidRPr="00374843">
        <w:rPr>
          <w:color w:val="000000"/>
          <w:sz w:val="24"/>
          <w:szCs w:val="24"/>
        </w:rPr>
        <w:t xml:space="preserve"> </w:t>
      </w:r>
      <w:proofErr w:type="spellStart"/>
      <w:r w:rsidRPr="00374843">
        <w:rPr>
          <w:color w:val="000000"/>
          <w:sz w:val="24"/>
          <w:szCs w:val="24"/>
        </w:rPr>
        <w:t>bertahap</w:t>
      </w:r>
      <w:proofErr w:type="spellEnd"/>
      <w:r w:rsidRPr="00374843">
        <w:rPr>
          <w:color w:val="000000"/>
          <w:sz w:val="24"/>
          <w:szCs w:val="24"/>
        </w:rPr>
        <w:t xml:space="preserve"> </w:t>
      </w:r>
      <w:proofErr w:type="spellStart"/>
      <w:r w:rsidRPr="00374843">
        <w:rPr>
          <w:color w:val="000000"/>
          <w:sz w:val="24"/>
          <w:szCs w:val="24"/>
        </w:rPr>
        <w:t>sesuai</w:t>
      </w:r>
      <w:proofErr w:type="spellEnd"/>
      <w:r w:rsidRPr="00374843">
        <w:rPr>
          <w:color w:val="000000"/>
          <w:sz w:val="24"/>
          <w:szCs w:val="24"/>
        </w:rPr>
        <w:t xml:space="preserve"> </w:t>
      </w:r>
      <w:proofErr w:type="spellStart"/>
      <w:r w:rsidRPr="00374843">
        <w:rPr>
          <w:color w:val="000000"/>
          <w:sz w:val="24"/>
          <w:szCs w:val="24"/>
        </w:rPr>
        <w:t>dengan</w:t>
      </w:r>
      <w:proofErr w:type="spellEnd"/>
      <w:r w:rsidRPr="00374843">
        <w:rPr>
          <w:color w:val="000000"/>
          <w:sz w:val="24"/>
          <w:szCs w:val="24"/>
        </w:rPr>
        <w:t xml:space="preserve"> </w:t>
      </w:r>
      <w:proofErr w:type="spellStart"/>
      <w:r w:rsidRPr="00374843">
        <w:rPr>
          <w:color w:val="000000"/>
          <w:sz w:val="24"/>
          <w:szCs w:val="24"/>
        </w:rPr>
        <w:t>respons</w:t>
      </w:r>
      <w:proofErr w:type="spellEnd"/>
      <w:r w:rsidRPr="00374843">
        <w:rPr>
          <w:color w:val="000000"/>
          <w:sz w:val="24"/>
          <w:szCs w:val="24"/>
        </w:rPr>
        <w:t xml:space="preserve"> </w:t>
      </w:r>
      <w:proofErr w:type="spellStart"/>
      <w:r w:rsidRPr="00374843">
        <w:rPr>
          <w:color w:val="000000"/>
          <w:sz w:val="24"/>
          <w:szCs w:val="24"/>
        </w:rPr>
        <w:t>kadar</w:t>
      </w:r>
      <w:proofErr w:type="spellEnd"/>
      <w:r w:rsidRPr="00374843">
        <w:rPr>
          <w:color w:val="000000"/>
          <w:sz w:val="24"/>
          <w:szCs w:val="24"/>
        </w:rPr>
        <w:t xml:space="preserve"> </w:t>
      </w:r>
      <w:proofErr w:type="spellStart"/>
      <w:r w:rsidRPr="00374843">
        <w:rPr>
          <w:color w:val="000000"/>
          <w:sz w:val="24"/>
          <w:szCs w:val="24"/>
        </w:rPr>
        <w:t>glukosa</w:t>
      </w:r>
      <w:proofErr w:type="spellEnd"/>
      <w:r w:rsidRPr="00374843">
        <w:rPr>
          <w:color w:val="000000"/>
          <w:sz w:val="24"/>
          <w:szCs w:val="24"/>
        </w:rPr>
        <w:t xml:space="preserve"> </w:t>
      </w:r>
      <w:proofErr w:type="spellStart"/>
      <w:r w:rsidRPr="00374843">
        <w:rPr>
          <w:color w:val="000000"/>
          <w:sz w:val="24"/>
          <w:szCs w:val="24"/>
        </w:rPr>
        <w:t>darah</w:t>
      </w:r>
      <w:proofErr w:type="spellEnd"/>
      <w:r w:rsidRPr="00374843">
        <w:rPr>
          <w:color w:val="000000"/>
          <w:sz w:val="24"/>
          <w:szCs w:val="24"/>
        </w:rPr>
        <w:t xml:space="preserve">. </w:t>
      </w:r>
      <w:proofErr w:type="spellStart"/>
      <w:r w:rsidRPr="00374843">
        <w:rPr>
          <w:color w:val="000000"/>
          <w:sz w:val="24"/>
          <w:szCs w:val="24"/>
        </w:rPr>
        <w:t>Terapi</w:t>
      </w:r>
      <w:proofErr w:type="spellEnd"/>
      <w:r w:rsidRPr="00374843">
        <w:rPr>
          <w:color w:val="000000"/>
          <w:sz w:val="24"/>
          <w:szCs w:val="24"/>
        </w:rPr>
        <w:t xml:space="preserve"> </w:t>
      </w:r>
      <w:proofErr w:type="spellStart"/>
      <w:r w:rsidRPr="00374843">
        <w:rPr>
          <w:color w:val="000000"/>
          <w:sz w:val="24"/>
          <w:szCs w:val="24"/>
        </w:rPr>
        <w:t>kombinasi</w:t>
      </w:r>
      <w:proofErr w:type="spellEnd"/>
      <w:r w:rsidRPr="00374843">
        <w:rPr>
          <w:color w:val="000000"/>
          <w:sz w:val="24"/>
          <w:szCs w:val="24"/>
        </w:rPr>
        <w:t xml:space="preserve"> </w:t>
      </w:r>
      <w:proofErr w:type="spellStart"/>
      <w:r w:rsidRPr="00374843">
        <w:rPr>
          <w:color w:val="000000"/>
          <w:sz w:val="24"/>
          <w:szCs w:val="24"/>
        </w:rPr>
        <w:t>obat</w:t>
      </w:r>
      <w:proofErr w:type="spellEnd"/>
      <w:r w:rsidRPr="00374843">
        <w:rPr>
          <w:color w:val="000000"/>
          <w:sz w:val="24"/>
          <w:szCs w:val="24"/>
        </w:rPr>
        <w:t xml:space="preserve"> </w:t>
      </w:r>
      <w:proofErr w:type="spellStart"/>
      <w:r w:rsidRPr="00374843">
        <w:rPr>
          <w:color w:val="000000"/>
          <w:sz w:val="24"/>
          <w:szCs w:val="24"/>
        </w:rPr>
        <w:t>antihiperglikemia</w:t>
      </w:r>
      <w:proofErr w:type="spellEnd"/>
      <w:r w:rsidRPr="00374843">
        <w:rPr>
          <w:color w:val="000000"/>
          <w:sz w:val="24"/>
          <w:szCs w:val="24"/>
        </w:rPr>
        <w:t xml:space="preserve"> oral, </w:t>
      </w:r>
      <w:proofErr w:type="spellStart"/>
      <w:r w:rsidRPr="00374843">
        <w:rPr>
          <w:color w:val="000000"/>
          <w:sz w:val="24"/>
          <w:szCs w:val="24"/>
        </w:rPr>
        <w:t>baik</w:t>
      </w:r>
      <w:proofErr w:type="spellEnd"/>
      <w:r w:rsidRPr="00374843">
        <w:rPr>
          <w:color w:val="000000"/>
          <w:sz w:val="24"/>
          <w:szCs w:val="24"/>
        </w:rPr>
        <w:t xml:space="preserve"> </w:t>
      </w:r>
      <w:proofErr w:type="spellStart"/>
      <w:r w:rsidRPr="00374843">
        <w:rPr>
          <w:color w:val="000000"/>
          <w:sz w:val="24"/>
          <w:szCs w:val="24"/>
        </w:rPr>
        <w:t>secara</w:t>
      </w:r>
      <w:proofErr w:type="spellEnd"/>
      <w:r w:rsidRPr="00374843">
        <w:rPr>
          <w:color w:val="000000"/>
          <w:sz w:val="24"/>
          <w:szCs w:val="24"/>
        </w:rPr>
        <w:t xml:space="preserve"> </w:t>
      </w:r>
      <w:proofErr w:type="spellStart"/>
      <w:r w:rsidRPr="00374843">
        <w:rPr>
          <w:color w:val="000000"/>
          <w:sz w:val="24"/>
          <w:szCs w:val="24"/>
        </w:rPr>
        <w:t>terpisah</w:t>
      </w:r>
      <w:proofErr w:type="spellEnd"/>
      <w:r w:rsidRPr="00374843">
        <w:rPr>
          <w:color w:val="000000"/>
          <w:sz w:val="24"/>
          <w:szCs w:val="24"/>
        </w:rPr>
        <w:t xml:space="preserve"> </w:t>
      </w:r>
      <w:proofErr w:type="spellStart"/>
      <w:proofErr w:type="gramStart"/>
      <w:r w:rsidRPr="00374843">
        <w:rPr>
          <w:color w:val="000000"/>
          <w:sz w:val="24"/>
          <w:szCs w:val="24"/>
        </w:rPr>
        <w:t>ataupun</w:t>
      </w:r>
      <w:proofErr w:type="spellEnd"/>
      <w:r w:rsidRPr="00374843">
        <w:rPr>
          <w:color w:val="000000"/>
          <w:sz w:val="24"/>
          <w:szCs w:val="24"/>
        </w:rPr>
        <w:t xml:space="preserve">  </w:t>
      </w:r>
      <w:r>
        <w:rPr>
          <w:i/>
          <w:iCs/>
          <w:color w:val="000000"/>
          <w:sz w:val="24"/>
          <w:szCs w:val="24"/>
        </w:rPr>
        <w:t>fixed</w:t>
      </w:r>
      <w:proofErr w:type="gramEnd"/>
      <w:r>
        <w:rPr>
          <w:i/>
          <w:iCs/>
          <w:color w:val="000000"/>
          <w:sz w:val="24"/>
          <w:szCs w:val="24"/>
        </w:rPr>
        <w:t xml:space="preserve"> dose combination</w:t>
      </w:r>
      <w:r w:rsidRPr="00374843">
        <w:rPr>
          <w:color w:val="000000"/>
          <w:sz w:val="24"/>
          <w:szCs w:val="24"/>
        </w:rPr>
        <w:t xml:space="preserve">, </w:t>
      </w:r>
      <w:proofErr w:type="spellStart"/>
      <w:r w:rsidRPr="00374843">
        <w:rPr>
          <w:color w:val="000000"/>
          <w:sz w:val="24"/>
          <w:szCs w:val="24"/>
        </w:rPr>
        <w:t>harus</w:t>
      </w:r>
      <w:proofErr w:type="spellEnd"/>
      <w:r w:rsidRPr="00374843">
        <w:rPr>
          <w:color w:val="000000"/>
          <w:sz w:val="24"/>
          <w:szCs w:val="24"/>
        </w:rPr>
        <w:t xml:space="preserve"> </w:t>
      </w:r>
      <w:proofErr w:type="spellStart"/>
      <w:r w:rsidRPr="00374843">
        <w:rPr>
          <w:color w:val="000000"/>
          <w:sz w:val="24"/>
          <w:szCs w:val="24"/>
        </w:rPr>
        <w:t>menggunakan</w:t>
      </w:r>
      <w:proofErr w:type="spellEnd"/>
      <w:r w:rsidRPr="00374843">
        <w:rPr>
          <w:color w:val="000000"/>
          <w:sz w:val="24"/>
          <w:szCs w:val="24"/>
        </w:rPr>
        <w:t xml:space="preserve"> </w:t>
      </w:r>
      <w:proofErr w:type="spellStart"/>
      <w:r w:rsidRPr="00374843">
        <w:rPr>
          <w:color w:val="000000"/>
          <w:sz w:val="24"/>
          <w:szCs w:val="24"/>
        </w:rPr>
        <w:t>dua</w:t>
      </w:r>
      <w:proofErr w:type="spellEnd"/>
      <w:r w:rsidRPr="00374843">
        <w:rPr>
          <w:color w:val="000000"/>
          <w:sz w:val="24"/>
          <w:szCs w:val="24"/>
        </w:rPr>
        <w:t xml:space="preserve"> </w:t>
      </w:r>
      <w:proofErr w:type="spellStart"/>
      <w:r w:rsidRPr="00374843">
        <w:rPr>
          <w:color w:val="000000"/>
          <w:sz w:val="24"/>
          <w:szCs w:val="24"/>
        </w:rPr>
        <w:t>macam</w:t>
      </w:r>
      <w:proofErr w:type="spellEnd"/>
      <w:r w:rsidRPr="00374843">
        <w:rPr>
          <w:color w:val="000000"/>
          <w:sz w:val="24"/>
          <w:szCs w:val="24"/>
        </w:rPr>
        <w:t xml:space="preserve"> </w:t>
      </w:r>
      <w:proofErr w:type="spellStart"/>
      <w:r w:rsidRPr="00374843">
        <w:rPr>
          <w:color w:val="000000"/>
          <w:sz w:val="24"/>
          <w:szCs w:val="24"/>
        </w:rPr>
        <w:t>obat</w:t>
      </w:r>
      <w:proofErr w:type="spellEnd"/>
      <w:r w:rsidRPr="00374843">
        <w:rPr>
          <w:color w:val="000000"/>
          <w:sz w:val="24"/>
          <w:szCs w:val="24"/>
        </w:rPr>
        <w:t xml:space="preserve"> </w:t>
      </w:r>
      <w:proofErr w:type="spellStart"/>
      <w:r w:rsidRPr="00374843">
        <w:rPr>
          <w:color w:val="000000"/>
          <w:sz w:val="24"/>
          <w:szCs w:val="24"/>
        </w:rPr>
        <w:t>dengan</w:t>
      </w:r>
      <w:proofErr w:type="spellEnd"/>
      <w:r w:rsidRPr="00374843">
        <w:rPr>
          <w:color w:val="000000"/>
          <w:sz w:val="24"/>
          <w:szCs w:val="24"/>
        </w:rPr>
        <w:t xml:space="preserve"> </w:t>
      </w:r>
      <w:proofErr w:type="spellStart"/>
      <w:r w:rsidRPr="00374843">
        <w:rPr>
          <w:color w:val="000000"/>
          <w:sz w:val="24"/>
          <w:szCs w:val="24"/>
        </w:rPr>
        <w:t>mekanisme</w:t>
      </w:r>
      <w:proofErr w:type="spellEnd"/>
      <w:r w:rsidRPr="00374843">
        <w:rPr>
          <w:color w:val="000000"/>
          <w:sz w:val="24"/>
          <w:szCs w:val="24"/>
        </w:rPr>
        <w:t xml:space="preserve"> </w:t>
      </w:r>
      <w:proofErr w:type="spellStart"/>
      <w:r w:rsidRPr="00374843">
        <w:rPr>
          <w:color w:val="000000"/>
          <w:sz w:val="24"/>
          <w:szCs w:val="24"/>
        </w:rPr>
        <w:t>kerja</w:t>
      </w:r>
      <w:proofErr w:type="spellEnd"/>
      <w:r w:rsidRPr="00374843">
        <w:rPr>
          <w:color w:val="000000"/>
          <w:sz w:val="24"/>
          <w:szCs w:val="24"/>
        </w:rPr>
        <w:t xml:space="preserve"> yang </w:t>
      </w:r>
      <w:proofErr w:type="spellStart"/>
      <w:r w:rsidRPr="00374843">
        <w:rPr>
          <w:color w:val="000000"/>
          <w:sz w:val="24"/>
          <w:szCs w:val="24"/>
        </w:rPr>
        <w:t>berbeda</w:t>
      </w:r>
      <w:proofErr w:type="spellEnd"/>
      <w:r w:rsidRPr="00374843">
        <w:rPr>
          <w:color w:val="000000"/>
          <w:sz w:val="24"/>
          <w:szCs w:val="24"/>
        </w:rPr>
        <w:t xml:space="preserve">. </w:t>
      </w:r>
      <w:proofErr w:type="spellStart"/>
      <w:r w:rsidRPr="00374843">
        <w:rPr>
          <w:color w:val="000000"/>
          <w:sz w:val="24"/>
          <w:szCs w:val="24"/>
        </w:rPr>
        <w:t>Terapi</w:t>
      </w:r>
      <w:proofErr w:type="spellEnd"/>
      <w:r w:rsidRPr="00374843">
        <w:rPr>
          <w:color w:val="000000"/>
          <w:sz w:val="24"/>
          <w:szCs w:val="24"/>
        </w:rPr>
        <w:t xml:space="preserve"> </w:t>
      </w:r>
      <w:proofErr w:type="spellStart"/>
      <w:r w:rsidRPr="00374843">
        <w:rPr>
          <w:color w:val="000000"/>
          <w:sz w:val="24"/>
          <w:szCs w:val="24"/>
        </w:rPr>
        <w:t>kombinasi</w:t>
      </w:r>
      <w:proofErr w:type="spellEnd"/>
      <w:r w:rsidRPr="00374843">
        <w:rPr>
          <w:color w:val="000000"/>
          <w:sz w:val="24"/>
          <w:szCs w:val="24"/>
        </w:rPr>
        <w:t xml:space="preserve"> </w:t>
      </w:r>
      <w:proofErr w:type="spellStart"/>
      <w:r w:rsidRPr="00374843">
        <w:rPr>
          <w:color w:val="000000"/>
          <w:sz w:val="24"/>
          <w:szCs w:val="24"/>
        </w:rPr>
        <w:t>ini</w:t>
      </w:r>
      <w:proofErr w:type="spellEnd"/>
      <w:r w:rsidRPr="00374843">
        <w:rPr>
          <w:color w:val="000000"/>
          <w:sz w:val="24"/>
          <w:szCs w:val="24"/>
        </w:rPr>
        <w:t xml:space="preserve"> </w:t>
      </w:r>
      <w:proofErr w:type="spellStart"/>
      <w:r w:rsidRPr="00374843">
        <w:rPr>
          <w:color w:val="000000"/>
          <w:sz w:val="24"/>
          <w:szCs w:val="24"/>
        </w:rPr>
        <w:t>dapat</w:t>
      </w:r>
      <w:proofErr w:type="spellEnd"/>
      <w:r w:rsidRPr="00374843">
        <w:rPr>
          <w:color w:val="000000"/>
          <w:sz w:val="24"/>
          <w:szCs w:val="24"/>
        </w:rPr>
        <w:t xml:space="preserve"> </w:t>
      </w:r>
      <w:proofErr w:type="spellStart"/>
      <w:r w:rsidRPr="00374843">
        <w:rPr>
          <w:color w:val="000000"/>
          <w:sz w:val="24"/>
          <w:szCs w:val="24"/>
        </w:rPr>
        <w:t>mempertahankan</w:t>
      </w:r>
      <w:proofErr w:type="spellEnd"/>
      <w:r w:rsidRPr="00374843">
        <w:rPr>
          <w:color w:val="000000"/>
          <w:sz w:val="24"/>
          <w:szCs w:val="24"/>
        </w:rPr>
        <w:t xml:space="preserve"> </w:t>
      </w:r>
      <w:proofErr w:type="spellStart"/>
      <w:r w:rsidRPr="00374843">
        <w:rPr>
          <w:color w:val="000000"/>
          <w:sz w:val="24"/>
          <w:szCs w:val="24"/>
        </w:rPr>
        <w:t>kontrol</w:t>
      </w:r>
      <w:proofErr w:type="spellEnd"/>
      <w:r w:rsidRPr="00374843">
        <w:rPr>
          <w:color w:val="000000"/>
          <w:sz w:val="24"/>
          <w:szCs w:val="24"/>
        </w:rPr>
        <w:t xml:space="preserve"> </w:t>
      </w:r>
      <w:proofErr w:type="spellStart"/>
      <w:r w:rsidRPr="00374843">
        <w:rPr>
          <w:color w:val="000000"/>
          <w:sz w:val="24"/>
          <w:szCs w:val="24"/>
        </w:rPr>
        <w:t>glikemik</w:t>
      </w:r>
      <w:proofErr w:type="spellEnd"/>
      <w:r w:rsidRPr="00374843">
        <w:rPr>
          <w:color w:val="000000"/>
          <w:sz w:val="24"/>
          <w:szCs w:val="24"/>
        </w:rPr>
        <w:t xml:space="preserve"> yang </w:t>
      </w:r>
      <w:proofErr w:type="spellStart"/>
      <w:r w:rsidRPr="00374843">
        <w:rPr>
          <w:color w:val="000000"/>
          <w:sz w:val="24"/>
          <w:szCs w:val="24"/>
        </w:rPr>
        <w:t>lebih</w:t>
      </w:r>
      <w:proofErr w:type="spellEnd"/>
      <w:r w:rsidRPr="00374843">
        <w:rPr>
          <w:color w:val="000000"/>
          <w:sz w:val="24"/>
          <w:szCs w:val="24"/>
        </w:rPr>
        <w:t xml:space="preserve"> </w:t>
      </w:r>
      <w:proofErr w:type="spellStart"/>
      <w:r w:rsidRPr="00374843">
        <w:rPr>
          <w:color w:val="000000"/>
          <w:sz w:val="24"/>
          <w:szCs w:val="24"/>
        </w:rPr>
        <w:t>besar</w:t>
      </w:r>
      <w:proofErr w:type="spellEnd"/>
      <w:r w:rsidRPr="00374843">
        <w:rPr>
          <w:color w:val="000000"/>
          <w:sz w:val="24"/>
          <w:szCs w:val="24"/>
        </w:rPr>
        <w:t xml:space="preserve"> </w:t>
      </w:r>
      <w:proofErr w:type="spellStart"/>
      <w:r w:rsidRPr="00374843">
        <w:rPr>
          <w:color w:val="000000"/>
          <w:sz w:val="24"/>
          <w:szCs w:val="24"/>
        </w:rPr>
        <w:t>dari</w:t>
      </w:r>
      <w:proofErr w:type="spellEnd"/>
      <w:r w:rsidRPr="00374843">
        <w:rPr>
          <w:color w:val="000000"/>
          <w:sz w:val="24"/>
          <w:szCs w:val="24"/>
        </w:rPr>
        <w:t xml:space="preserve"> pada </w:t>
      </w:r>
      <w:proofErr w:type="spellStart"/>
      <w:r w:rsidRPr="00374843">
        <w:rPr>
          <w:color w:val="000000"/>
          <w:sz w:val="24"/>
          <w:szCs w:val="24"/>
        </w:rPr>
        <w:t>pemberian</w:t>
      </w:r>
      <w:proofErr w:type="spellEnd"/>
      <w:r w:rsidRPr="00374843">
        <w:rPr>
          <w:color w:val="000000"/>
          <w:sz w:val="24"/>
          <w:szCs w:val="24"/>
        </w:rPr>
        <w:t xml:space="preserve"> </w:t>
      </w:r>
      <w:proofErr w:type="spellStart"/>
      <w:r w:rsidRPr="00374843">
        <w:rPr>
          <w:color w:val="000000"/>
          <w:sz w:val="24"/>
          <w:szCs w:val="24"/>
        </w:rPr>
        <w:t>monoterapi</w:t>
      </w:r>
      <w:proofErr w:type="spellEnd"/>
      <w:r w:rsidRPr="00374843">
        <w:rPr>
          <w:color w:val="000000"/>
          <w:sz w:val="24"/>
          <w:szCs w:val="24"/>
        </w:rPr>
        <w:t xml:space="preserve">. Pada </w:t>
      </w:r>
      <w:proofErr w:type="spellStart"/>
      <w:r w:rsidRPr="00374843">
        <w:rPr>
          <w:color w:val="000000"/>
          <w:sz w:val="24"/>
          <w:szCs w:val="24"/>
        </w:rPr>
        <w:t>keadaan</w:t>
      </w:r>
      <w:proofErr w:type="spellEnd"/>
      <w:r w:rsidRPr="00374843">
        <w:rPr>
          <w:color w:val="000000"/>
          <w:sz w:val="24"/>
          <w:szCs w:val="24"/>
        </w:rPr>
        <w:t xml:space="preserve"> </w:t>
      </w:r>
      <w:proofErr w:type="spellStart"/>
      <w:r w:rsidRPr="00374843">
        <w:rPr>
          <w:color w:val="000000"/>
          <w:sz w:val="24"/>
          <w:szCs w:val="24"/>
        </w:rPr>
        <w:t>tertentu</w:t>
      </w:r>
      <w:proofErr w:type="spellEnd"/>
      <w:r w:rsidRPr="00374843">
        <w:rPr>
          <w:color w:val="000000"/>
          <w:sz w:val="24"/>
          <w:szCs w:val="24"/>
        </w:rPr>
        <w:t xml:space="preserve"> </w:t>
      </w:r>
      <w:proofErr w:type="spellStart"/>
      <w:r w:rsidRPr="00374843">
        <w:rPr>
          <w:color w:val="000000"/>
          <w:sz w:val="24"/>
          <w:szCs w:val="24"/>
        </w:rPr>
        <w:t>apabila</w:t>
      </w:r>
      <w:proofErr w:type="spellEnd"/>
      <w:r w:rsidRPr="00374843">
        <w:rPr>
          <w:color w:val="000000"/>
          <w:sz w:val="24"/>
          <w:szCs w:val="24"/>
        </w:rPr>
        <w:t xml:space="preserve"> </w:t>
      </w:r>
      <w:proofErr w:type="spellStart"/>
      <w:r w:rsidRPr="00374843">
        <w:rPr>
          <w:color w:val="000000"/>
          <w:sz w:val="24"/>
          <w:szCs w:val="24"/>
        </w:rPr>
        <w:t>sasaran</w:t>
      </w:r>
      <w:proofErr w:type="spellEnd"/>
      <w:r w:rsidRPr="00374843">
        <w:rPr>
          <w:color w:val="000000"/>
          <w:sz w:val="24"/>
          <w:szCs w:val="24"/>
        </w:rPr>
        <w:t xml:space="preserve"> </w:t>
      </w:r>
      <w:proofErr w:type="spellStart"/>
      <w:r w:rsidRPr="00374843">
        <w:rPr>
          <w:color w:val="000000"/>
          <w:sz w:val="24"/>
          <w:szCs w:val="24"/>
        </w:rPr>
        <w:t>kadar</w:t>
      </w:r>
      <w:proofErr w:type="spellEnd"/>
      <w:r w:rsidRPr="00374843">
        <w:rPr>
          <w:color w:val="000000"/>
          <w:sz w:val="24"/>
          <w:szCs w:val="24"/>
        </w:rPr>
        <w:t xml:space="preserve"> </w:t>
      </w:r>
      <w:proofErr w:type="spellStart"/>
      <w:r w:rsidRPr="00374843">
        <w:rPr>
          <w:color w:val="000000"/>
          <w:sz w:val="24"/>
          <w:szCs w:val="24"/>
        </w:rPr>
        <w:t>glukosa</w:t>
      </w:r>
      <w:proofErr w:type="spellEnd"/>
      <w:r w:rsidRPr="00374843">
        <w:rPr>
          <w:color w:val="000000"/>
          <w:sz w:val="24"/>
          <w:szCs w:val="24"/>
        </w:rPr>
        <w:t xml:space="preserve"> </w:t>
      </w:r>
      <w:proofErr w:type="spellStart"/>
      <w:r w:rsidRPr="00374843">
        <w:rPr>
          <w:color w:val="000000"/>
          <w:sz w:val="24"/>
          <w:szCs w:val="24"/>
        </w:rPr>
        <w:t>darah</w:t>
      </w:r>
      <w:proofErr w:type="spellEnd"/>
      <w:r w:rsidRPr="00374843">
        <w:rPr>
          <w:color w:val="000000"/>
          <w:sz w:val="24"/>
          <w:szCs w:val="24"/>
        </w:rPr>
        <w:t xml:space="preserve"> </w:t>
      </w:r>
      <w:proofErr w:type="spellStart"/>
      <w:r w:rsidRPr="00374843">
        <w:rPr>
          <w:color w:val="000000"/>
          <w:sz w:val="24"/>
          <w:szCs w:val="24"/>
        </w:rPr>
        <w:t>belum</w:t>
      </w:r>
      <w:proofErr w:type="spellEnd"/>
      <w:r w:rsidRPr="00374843">
        <w:rPr>
          <w:color w:val="000000"/>
          <w:sz w:val="24"/>
          <w:szCs w:val="24"/>
        </w:rPr>
        <w:t xml:space="preserve"> </w:t>
      </w:r>
      <w:proofErr w:type="spellStart"/>
      <w:r w:rsidRPr="00374843">
        <w:rPr>
          <w:color w:val="000000"/>
          <w:sz w:val="24"/>
          <w:szCs w:val="24"/>
        </w:rPr>
        <w:t>tercapai</w:t>
      </w:r>
      <w:proofErr w:type="spellEnd"/>
      <w:r w:rsidRPr="00374843">
        <w:rPr>
          <w:color w:val="000000"/>
          <w:sz w:val="24"/>
          <w:szCs w:val="24"/>
        </w:rPr>
        <w:t xml:space="preserve"> </w:t>
      </w:r>
      <w:proofErr w:type="spellStart"/>
      <w:r w:rsidRPr="00374843">
        <w:rPr>
          <w:color w:val="000000"/>
          <w:sz w:val="24"/>
          <w:szCs w:val="24"/>
        </w:rPr>
        <w:t>dengan</w:t>
      </w:r>
      <w:proofErr w:type="spellEnd"/>
      <w:r w:rsidRPr="00374843">
        <w:rPr>
          <w:color w:val="000000"/>
          <w:sz w:val="24"/>
          <w:szCs w:val="24"/>
        </w:rPr>
        <w:t xml:space="preserve"> </w:t>
      </w:r>
      <w:proofErr w:type="spellStart"/>
      <w:r w:rsidRPr="00374843">
        <w:rPr>
          <w:color w:val="000000"/>
          <w:sz w:val="24"/>
          <w:szCs w:val="24"/>
        </w:rPr>
        <w:t>kombinasi</w:t>
      </w:r>
      <w:proofErr w:type="spellEnd"/>
      <w:r w:rsidRPr="00374843">
        <w:rPr>
          <w:color w:val="000000"/>
          <w:sz w:val="24"/>
          <w:szCs w:val="24"/>
        </w:rPr>
        <w:t xml:space="preserve"> </w:t>
      </w:r>
      <w:proofErr w:type="spellStart"/>
      <w:r w:rsidRPr="00374843">
        <w:rPr>
          <w:color w:val="000000"/>
          <w:sz w:val="24"/>
          <w:szCs w:val="24"/>
        </w:rPr>
        <w:t>dua</w:t>
      </w:r>
      <w:proofErr w:type="spellEnd"/>
      <w:r w:rsidRPr="00374843">
        <w:rPr>
          <w:color w:val="000000"/>
          <w:sz w:val="24"/>
          <w:szCs w:val="24"/>
        </w:rPr>
        <w:t xml:space="preserve"> </w:t>
      </w:r>
      <w:proofErr w:type="spellStart"/>
      <w:r w:rsidRPr="00374843">
        <w:rPr>
          <w:color w:val="000000"/>
          <w:sz w:val="24"/>
          <w:szCs w:val="24"/>
        </w:rPr>
        <w:t>macam</w:t>
      </w:r>
      <w:proofErr w:type="spellEnd"/>
      <w:r w:rsidRPr="00374843">
        <w:rPr>
          <w:color w:val="000000"/>
          <w:sz w:val="24"/>
          <w:szCs w:val="24"/>
        </w:rPr>
        <w:t xml:space="preserve"> </w:t>
      </w:r>
      <w:proofErr w:type="spellStart"/>
      <w:r w:rsidRPr="00374843">
        <w:rPr>
          <w:color w:val="000000"/>
          <w:sz w:val="24"/>
          <w:szCs w:val="24"/>
        </w:rPr>
        <w:t>obat</w:t>
      </w:r>
      <w:proofErr w:type="spellEnd"/>
      <w:r w:rsidRPr="00374843">
        <w:rPr>
          <w:color w:val="000000"/>
          <w:sz w:val="24"/>
          <w:szCs w:val="24"/>
        </w:rPr>
        <w:t xml:space="preserve">, </w:t>
      </w:r>
      <w:proofErr w:type="spellStart"/>
      <w:r w:rsidRPr="00374843">
        <w:rPr>
          <w:color w:val="000000"/>
          <w:sz w:val="24"/>
          <w:szCs w:val="24"/>
        </w:rPr>
        <w:t>dapat</w:t>
      </w:r>
      <w:proofErr w:type="spellEnd"/>
      <w:r w:rsidRPr="00374843">
        <w:rPr>
          <w:color w:val="000000"/>
          <w:sz w:val="24"/>
          <w:szCs w:val="24"/>
        </w:rPr>
        <w:t xml:space="preserve"> </w:t>
      </w:r>
      <w:proofErr w:type="spellStart"/>
      <w:r w:rsidRPr="00374843">
        <w:rPr>
          <w:color w:val="000000"/>
          <w:sz w:val="24"/>
          <w:szCs w:val="24"/>
        </w:rPr>
        <w:t>diberikan</w:t>
      </w:r>
      <w:proofErr w:type="spellEnd"/>
      <w:r w:rsidRPr="00374843">
        <w:rPr>
          <w:color w:val="000000"/>
          <w:sz w:val="24"/>
          <w:szCs w:val="24"/>
        </w:rPr>
        <w:t xml:space="preserve"> </w:t>
      </w:r>
      <w:proofErr w:type="spellStart"/>
      <w:r w:rsidRPr="00374843">
        <w:rPr>
          <w:color w:val="000000"/>
          <w:sz w:val="24"/>
          <w:szCs w:val="24"/>
        </w:rPr>
        <w:t>kombinasi</w:t>
      </w:r>
      <w:proofErr w:type="spellEnd"/>
      <w:r w:rsidRPr="00374843">
        <w:rPr>
          <w:color w:val="000000"/>
          <w:sz w:val="24"/>
          <w:szCs w:val="24"/>
        </w:rPr>
        <w:t xml:space="preserve"> </w:t>
      </w:r>
      <w:proofErr w:type="spellStart"/>
      <w:r w:rsidRPr="00374843">
        <w:rPr>
          <w:color w:val="000000"/>
          <w:sz w:val="24"/>
          <w:szCs w:val="24"/>
        </w:rPr>
        <w:t>dua</w:t>
      </w:r>
      <w:proofErr w:type="spellEnd"/>
      <w:r w:rsidRPr="00374843">
        <w:rPr>
          <w:color w:val="000000"/>
          <w:sz w:val="24"/>
          <w:szCs w:val="24"/>
        </w:rPr>
        <w:t xml:space="preserve"> </w:t>
      </w:r>
      <w:proofErr w:type="spellStart"/>
      <w:r w:rsidRPr="00374843">
        <w:rPr>
          <w:color w:val="000000"/>
          <w:sz w:val="24"/>
          <w:szCs w:val="24"/>
        </w:rPr>
        <w:t>obat</w:t>
      </w:r>
      <w:proofErr w:type="spellEnd"/>
      <w:r w:rsidRPr="00374843">
        <w:rPr>
          <w:color w:val="000000"/>
          <w:sz w:val="24"/>
          <w:szCs w:val="24"/>
        </w:rPr>
        <w:t xml:space="preserve"> </w:t>
      </w:r>
      <w:proofErr w:type="spellStart"/>
      <w:r w:rsidRPr="00374843">
        <w:rPr>
          <w:color w:val="000000"/>
          <w:sz w:val="24"/>
          <w:szCs w:val="24"/>
        </w:rPr>
        <w:t>antihiperglikemia</w:t>
      </w:r>
      <w:proofErr w:type="spellEnd"/>
      <w:r w:rsidRPr="00374843">
        <w:rPr>
          <w:color w:val="000000"/>
          <w:sz w:val="24"/>
          <w:szCs w:val="24"/>
        </w:rPr>
        <w:t xml:space="preserve"> </w:t>
      </w:r>
      <w:proofErr w:type="spellStart"/>
      <w:r w:rsidRPr="00374843">
        <w:rPr>
          <w:color w:val="000000"/>
          <w:sz w:val="24"/>
          <w:szCs w:val="24"/>
        </w:rPr>
        <w:t>dengan</w:t>
      </w:r>
      <w:proofErr w:type="spellEnd"/>
      <w:r w:rsidRPr="00374843">
        <w:rPr>
          <w:color w:val="000000"/>
          <w:sz w:val="24"/>
          <w:szCs w:val="24"/>
        </w:rPr>
        <w:t xml:space="preserve"> insulin. Pada </w:t>
      </w:r>
      <w:proofErr w:type="spellStart"/>
      <w:r w:rsidRPr="00374843">
        <w:rPr>
          <w:color w:val="000000"/>
          <w:sz w:val="24"/>
          <w:szCs w:val="24"/>
        </w:rPr>
        <w:t>pasien</w:t>
      </w:r>
      <w:proofErr w:type="spellEnd"/>
      <w:r w:rsidRPr="00374843">
        <w:rPr>
          <w:color w:val="000000"/>
          <w:sz w:val="24"/>
          <w:szCs w:val="24"/>
        </w:rPr>
        <w:t xml:space="preserve"> yang </w:t>
      </w:r>
      <w:proofErr w:type="spellStart"/>
      <w:r w:rsidRPr="00374843">
        <w:rPr>
          <w:color w:val="000000"/>
          <w:sz w:val="24"/>
          <w:szCs w:val="24"/>
        </w:rPr>
        <w:t>disertai</w:t>
      </w:r>
      <w:proofErr w:type="spellEnd"/>
      <w:r w:rsidRPr="00374843">
        <w:rPr>
          <w:color w:val="000000"/>
          <w:sz w:val="24"/>
          <w:szCs w:val="24"/>
        </w:rPr>
        <w:t xml:space="preserve"> </w:t>
      </w:r>
      <w:proofErr w:type="spellStart"/>
      <w:r w:rsidRPr="00374843">
        <w:rPr>
          <w:color w:val="000000"/>
          <w:sz w:val="24"/>
          <w:szCs w:val="24"/>
        </w:rPr>
        <w:t>dengan</w:t>
      </w:r>
      <w:proofErr w:type="spellEnd"/>
      <w:r w:rsidRPr="00374843">
        <w:rPr>
          <w:color w:val="000000"/>
          <w:sz w:val="24"/>
          <w:szCs w:val="24"/>
        </w:rPr>
        <w:t xml:space="preserve"> </w:t>
      </w:r>
      <w:proofErr w:type="spellStart"/>
      <w:r w:rsidRPr="00374843">
        <w:rPr>
          <w:color w:val="000000"/>
          <w:sz w:val="24"/>
          <w:szCs w:val="24"/>
        </w:rPr>
        <w:t>alasan</w:t>
      </w:r>
      <w:proofErr w:type="spellEnd"/>
      <w:r w:rsidRPr="00374843">
        <w:rPr>
          <w:color w:val="000000"/>
          <w:sz w:val="24"/>
          <w:szCs w:val="24"/>
        </w:rPr>
        <w:t xml:space="preserve"> </w:t>
      </w:r>
      <w:proofErr w:type="spellStart"/>
      <w:r w:rsidRPr="00374843">
        <w:rPr>
          <w:color w:val="000000"/>
          <w:sz w:val="24"/>
          <w:szCs w:val="24"/>
        </w:rPr>
        <w:t>klinis</w:t>
      </w:r>
      <w:proofErr w:type="spellEnd"/>
      <w:r w:rsidRPr="00374843">
        <w:rPr>
          <w:color w:val="000000"/>
          <w:sz w:val="24"/>
          <w:szCs w:val="24"/>
        </w:rPr>
        <w:t xml:space="preserve"> </w:t>
      </w:r>
      <w:proofErr w:type="spellStart"/>
      <w:r w:rsidRPr="00374843">
        <w:rPr>
          <w:color w:val="000000"/>
          <w:sz w:val="24"/>
          <w:szCs w:val="24"/>
        </w:rPr>
        <w:t>tertentu</w:t>
      </w:r>
      <w:proofErr w:type="spellEnd"/>
      <w:r w:rsidRPr="00374843">
        <w:rPr>
          <w:color w:val="000000"/>
          <w:sz w:val="24"/>
          <w:szCs w:val="24"/>
        </w:rPr>
        <w:t xml:space="preserve">, insulin </w:t>
      </w:r>
      <w:proofErr w:type="spellStart"/>
      <w:r w:rsidRPr="00374843">
        <w:rPr>
          <w:color w:val="000000"/>
          <w:sz w:val="24"/>
          <w:szCs w:val="24"/>
        </w:rPr>
        <w:t>tidak</w:t>
      </w:r>
      <w:proofErr w:type="spellEnd"/>
      <w:r w:rsidRPr="00374843">
        <w:rPr>
          <w:color w:val="000000"/>
          <w:sz w:val="24"/>
          <w:szCs w:val="24"/>
        </w:rPr>
        <w:t xml:space="preserve"> </w:t>
      </w:r>
      <w:proofErr w:type="spellStart"/>
      <w:r w:rsidRPr="00374843">
        <w:rPr>
          <w:color w:val="000000"/>
          <w:sz w:val="24"/>
          <w:szCs w:val="24"/>
        </w:rPr>
        <w:t>memungkinkan</w:t>
      </w:r>
      <w:proofErr w:type="spellEnd"/>
      <w:r w:rsidRPr="00374843">
        <w:rPr>
          <w:color w:val="000000"/>
          <w:sz w:val="24"/>
          <w:szCs w:val="24"/>
        </w:rPr>
        <w:t xml:space="preserve"> </w:t>
      </w:r>
      <w:proofErr w:type="spellStart"/>
      <w:r w:rsidRPr="00374843">
        <w:rPr>
          <w:color w:val="000000"/>
          <w:sz w:val="24"/>
          <w:szCs w:val="24"/>
        </w:rPr>
        <w:t>untuk</w:t>
      </w:r>
      <w:proofErr w:type="spellEnd"/>
      <w:r w:rsidRPr="00374843">
        <w:rPr>
          <w:color w:val="000000"/>
          <w:sz w:val="24"/>
          <w:szCs w:val="24"/>
        </w:rPr>
        <w:t xml:space="preserve"> </w:t>
      </w:r>
      <w:proofErr w:type="spellStart"/>
      <w:r w:rsidRPr="00374843">
        <w:rPr>
          <w:color w:val="000000"/>
          <w:sz w:val="24"/>
          <w:szCs w:val="24"/>
        </w:rPr>
        <w:t>dipakai</w:t>
      </w:r>
      <w:proofErr w:type="spellEnd"/>
      <w:r w:rsidRPr="00374843">
        <w:rPr>
          <w:color w:val="000000"/>
          <w:sz w:val="24"/>
          <w:szCs w:val="24"/>
        </w:rPr>
        <w:t xml:space="preserve">, </w:t>
      </w:r>
      <w:proofErr w:type="spellStart"/>
      <w:r w:rsidRPr="00374843">
        <w:rPr>
          <w:color w:val="000000"/>
          <w:sz w:val="24"/>
          <w:szCs w:val="24"/>
        </w:rPr>
        <w:t>terapi</w:t>
      </w:r>
      <w:proofErr w:type="spellEnd"/>
      <w:r w:rsidRPr="00374843">
        <w:rPr>
          <w:color w:val="000000"/>
          <w:sz w:val="24"/>
          <w:szCs w:val="24"/>
        </w:rPr>
        <w:t xml:space="preserve"> </w:t>
      </w:r>
      <w:proofErr w:type="spellStart"/>
      <w:r w:rsidRPr="00374843">
        <w:rPr>
          <w:color w:val="000000"/>
          <w:sz w:val="24"/>
          <w:szCs w:val="24"/>
        </w:rPr>
        <w:t>dapat</w:t>
      </w:r>
      <w:proofErr w:type="spellEnd"/>
      <w:r w:rsidRPr="00374843">
        <w:rPr>
          <w:color w:val="000000"/>
          <w:sz w:val="24"/>
          <w:szCs w:val="24"/>
        </w:rPr>
        <w:t xml:space="preserve"> </w:t>
      </w:r>
      <w:proofErr w:type="spellStart"/>
      <w:r w:rsidRPr="00374843">
        <w:rPr>
          <w:color w:val="000000"/>
          <w:sz w:val="24"/>
          <w:szCs w:val="24"/>
        </w:rPr>
        <w:t>diberikan</w:t>
      </w:r>
      <w:proofErr w:type="spellEnd"/>
      <w:r w:rsidRPr="00374843">
        <w:rPr>
          <w:color w:val="000000"/>
          <w:sz w:val="24"/>
          <w:szCs w:val="24"/>
        </w:rPr>
        <w:t xml:space="preserve"> </w:t>
      </w:r>
      <w:proofErr w:type="spellStart"/>
      <w:r w:rsidRPr="00374843">
        <w:rPr>
          <w:color w:val="000000"/>
          <w:sz w:val="24"/>
          <w:szCs w:val="24"/>
        </w:rPr>
        <w:t>kombinasi</w:t>
      </w:r>
      <w:proofErr w:type="spellEnd"/>
      <w:r w:rsidRPr="00374843">
        <w:rPr>
          <w:color w:val="000000"/>
          <w:sz w:val="24"/>
          <w:szCs w:val="24"/>
        </w:rPr>
        <w:t xml:space="preserve"> </w:t>
      </w:r>
      <w:proofErr w:type="spellStart"/>
      <w:r w:rsidRPr="00374843">
        <w:rPr>
          <w:color w:val="000000"/>
          <w:sz w:val="24"/>
          <w:szCs w:val="24"/>
        </w:rPr>
        <w:t>tiga</w:t>
      </w:r>
      <w:proofErr w:type="spellEnd"/>
      <w:r w:rsidRPr="00374843">
        <w:rPr>
          <w:color w:val="000000"/>
          <w:sz w:val="24"/>
          <w:szCs w:val="24"/>
        </w:rPr>
        <w:t xml:space="preserve"> </w:t>
      </w:r>
      <w:proofErr w:type="spellStart"/>
      <w:r w:rsidRPr="00374843">
        <w:rPr>
          <w:color w:val="000000"/>
          <w:sz w:val="24"/>
          <w:szCs w:val="24"/>
        </w:rPr>
        <w:t>obat</w:t>
      </w:r>
      <w:proofErr w:type="spellEnd"/>
      <w:r w:rsidRPr="00374843">
        <w:rPr>
          <w:color w:val="000000"/>
          <w:sz w:val="24"/>
          <w:szCs w:val="24"/>
        </w:rPr>
        <w:t xml:space="preserve"> </w:t>
      </w:r>
      <w:proofErr w:type="spellStart"/>
      <w:r w:rsidRPr="00374843">
        <w:rPr>
          <w:color w:val="000000"/>
          <w:sz w:val="24"/>
          <w:szCs w:val="24"/>
        </w:rPr>
        <w:t>antihi</w:t>
      </w:r>
      <w:r>
        <w:rPr>
          <w:color w:val="000000"/>
          <w:sz w:val="24"/>
          <w:szCs w:val="24"/>
        </w:rPr>
        <w:t>perglikemia</w:t>
      </w:r>
      <w:proofErr w:type="spellEnd"/>
      <w:r>
        <w:rPr>
          <w:color w:val="000000"/>
          <w:sz w:val="24"/>
          <w:szCs w:val="24"/>
        </w:rPr>
        <w:t xml:space="preserve"> oral </w:t>
      </w:r>
      <w:r>
        <w:rPr>
          <w:b/>
          <w:color w:val="000000"/>
          <w:sz w:val="24"/>
          <w:szCs w:val="24"/>
        </w:rPr>
        <w:fldChar w:fldCharType="begin" w:fldLock="1"/>
      </w:r>
      <w:r>
        <w:rPr>
          <w:color w:val="000000"/>
          <w:sz w:val="24"/>
          <w:szCs w:val="24"/>
        </w:rPr>
        <w:instrText>ADDIN CSL_CITATION {"citationItems":[{"id":"ITEM-1","itemData":{"ISBN":"978-979-19388-6-0","abstract":"This study explores states of parental and child absences (PCA) that emerge through bending, breaking, or \"broken\" parent-child bonds in American family life. The problem of breaking parent-child bonds is grounded in the degree of lacking that society attaches to parenting given or received by the individual. The problem of remaining child-less is that women and men have broken their bond with society to become parents. Across scenarios, gender bias overarches notions of femininity and masculinity anchored in bonding within the nuclear family. I relied on qualitative methods to find and follow 48 \"insiders to absences\" situated in historically disparate motherless, fatherless, or childless identity groups. There was a deliberate search for stigma in the analysis of individual and societal responses to differing circumstances of parent/child death, separation or conflict-driven estrangement from a living parent/child, and remaining child-less. The methodological and theoretical elements of this research promote the \"insiders\" experiences as an inherently valid and critical cornerstone of knowledge of families. Feminist epistemologies and methods of research informed the in-depth interviewing and interpretation of that data. Erving Goffman's (1959, 1963) theories were essential to formulating substantive interview questions and analyzing the data related to the respondents' management of identity and stigma in social interactions. A key finding is that all of the insiders claimed \"differentness\" due to the absence of a particular mother, father, daughter, or son; real or socially imagined. Some, but not all, insiders felt stigmatized by their shared differentness. Absences create new presences that enhance the insider's experience of family, self, and social place. These presences represent many types of related and unrelated kin. Further, physical absence rarely squared with lacking in emotional bonds with people who were absent or present in the insiders' families. Ambiguities riddled dimensions of PCA. The insiders employed strategies for handling ambiguity including coping with unwanted absences, embracing wanted absence, and resisting stigma. They \"customized\" their family-based identity regardless of their (dis)comfort with their situation of absence. Coping with ambiguity while resisting stigma suggest that adult Americans are (re)defining mother-less, father-less, and child-less identities in American society from the \"bottom up.\"","author":[{"dropping-particle":"","family":"Perkeni","given":"","non-dropping-particle":"","parse-names":false,"suffix":""}],"container-title":"Perkeni","id":"ITEM-1","issued":{"date-parts":[["2015"]]},"number-of-pages":"82","title":"Konsesus Pengelolaan Dan Pencegahan Diabetes Melitus Tipe2 Di Indonesia 2015","type":"book"},"uris":["http://www.mendeley.com/documents/?uuid=5dd7ee29-9f8b-4db6-ac3e-28f76dcbb05e"]}],"mendeley":{"formattedCitation":"(Perkeni, 2015)","plainTextFormattedCitation":"(Perkeni, 2015)","previouslyFormattedCitation":"(6)"},"properties":{"noteIndex":0},"schema":"https://github.com/citation-style-language/schema/raw/master/csl-citation.json"}</w:instrText>
      </w:r>
      <w:r>
        <w:rPr>
          <w:b/>
          <w:color w:val="000000"/>
          <w:sz w:val="24"/>
          <w:szCs w:val="24"/>
        </w:rPr>
        <w:fldChar w:fldCharType="separate"/>
      </w:r>
      <w:r w:rsidRPr="00DA390C">
        <w:rPr>
          <w:noProof/>
          <w:color w:val="000000"/>
          <w:sz w:val="24"/>
          <w:szCs w:val="24"/>
        </w:rPr>
        <w:t>(Perkeni, 2015)</w:t>
      </w:r>
      <w:r>
        <w:rPr>
          <w:b/>
          <w:color w:val="000000"/>
          <w:sz w:val="24"/>
          <w:szCs w:val="24"/>
        </w:rPr>
        <w:fldChar w:fldCharType="end"/>
      </w:r>
      <w:r>
        <w:rPr>
          <w:color w:val="000000"/>
          <w:sz w:val="24"/>
          <w:szCs w:val="24"/>
        </w:rPr>
        <w:t>.</w:t>
      </w:r>
    </w:p>
    <w:p w14:paraId="59988300" w14:textId="77777777" w:rsidR="00006AA5" w:rsidRDefault="00006AA5" w:rsidP="00006AA5">
      <w:pPr>
        <w:pBdr>
          <w:top w:val="nil"/>
          <w:left w:val="nil"/>
          <w:bottom w:val="nil"/>
          <w:right w:val="nil"/>
          <w:between w:val="nil"/>
        </w:pBdr>
        <w:ind w:firstLine="432"/>
        <w:jc w:val="both"/>
        <w:rPr>
          <w:b/>
          <w:color w:val="000000"/>
          <w:sz w:val="24"/>
          <w:szCs w:val="24"/>
        </w:rPr>
      </w:pPr>
      <w:proofErr w:type="spellStart"/>
      <w:r w:rsidRPr="00006AA5">
        <w:rPr>
          <w:sz w:val="24"/>
          <w:szCs w:val="24"/>
        </w:rPr>
        <w:t>Kombinasi</w:t>
      </w:r>
      <w:proofErr w:type="spellEnd"/>
      <w:r w:rsidRPr="00006AA5">
        <w:rPr>
          <w:sz w:val="24"/>
          <w:szCs w:val="24"/>
        </w:rPr>
        <w:t xml:space="preserve"> </w:t>
      </w:r>
      <w:proofErr w:type="spellStart"/>
      <w:r w:rsidRPr="00006AA5">
        <w:rPr>
          <w:sz w:val="24"/>
          <w:szCs w:val="24"/>
        </w:rPr>
        <w:t>obat</w:t>
      </w:r>
      <w:proofErr w:type="spellEnd"/>
      <w:r w:rsidRPr="00006AA5">
        <w:rPr>
          <w:sz w:val="24"/>
          <w:szCs w:val="24"/>
        </w:rPr>
        <w:t xml:space="preserve"> </w:t>
      </w:r>
      <w:proofErr w:type="spellStart"/>
      <w:r w:rsidRPr="00006AA5">
        <w:rPr>
          <w:sz w:val="24"/>
          <w:szCs w:val="24"/>
        </w:rPr>
        <w:t>antihiperglikemia</w:t>
      </w:r>
      <w:proofErr w:type="spellEnd"/>
      <w:r w:rsidRPr="00006AA5">
        <w:rPr>
          <w:sz w:val="24"/>
          <w:szCs w:val="24"/>
        </w:rPr>
        <w:t xml:space="preserve"> yang dapat digunakan dari dua mekanisme yang berbeda ialah dapagliflozin dan metformin. Beberapa penelitian menunjukan hasil uji kombinasi obat golongan SGLT-2 inhibitor dan metformin dapat menghasilkan penurunan kadar HbA1c yang lebih besar (MD (95% CI), sehingga SGLT-2 inhibito dapat dikombinasikan dengan metformin </w:t>
      </w:r>
      <w:r w:rsidRPr="00006AA5">
        <w:rPr>
          <w:sz w:val="24"/>
          <w:szCs w:val="24"/>
        </w:rPr>
        <w:fldChar w:fldCharType="begin" w:fldLock="1"/>
      </w:r>
      <w:r w:rsidRPr="00006AA5">
        <w:rPr>
          <w:sz w:val="24"/>
          <w:szCs w:val="24"/>
        </w:rPr>
        <w:instrText>ADDIN CSL_CITATION {"citationItems":[{"id":"ITEM-1","itemData":{"DOI":"10.3390/jcm8010045","ISSN":"2077-0383","abstract":"Background: Guidelines differ with regard to indications for initial combination pharmacotherapy for type 2 diabetes. Aims: To compare the efficacy and safety of (i) sodium-glucose cotransporter 2 (SGLT2) inhibitor combination therapy in treatment-naïve type 2 diabetes adults; (ii) initial high and low dose SGLT2 inhibitor combination therapy. Methods: PubMed, Embase and Cochrane Library were searched for randomised controlled trials (RCTs) of initial SGLT2 combination therapy. Mean difference (MD) for changes from baseline (HbA1c, weight, blood pressure) after 24–26 weeks of treatment and relative risks (RR, safety) were calculated using a random-effects model. Risk of bias and quality of evidence was assessed. Results: In 4 RCTs (n = 3749) there was moderate quality evidence that SGLT2 inhibitor/metformin combination therapy resulted in a greater reduction in HbA1c (MD (95% CI); −0.55% (−0.67, −0.43)) and weight (−2.00 kg (−2.34, −1.66)) compared with metformin monotherapy, and a greater reduction in HbA1c (−0.59% (−0.72, −0.46)) and weight (−0.57 kg (−0.89, −0.25)) compared with SGLT2 inhibitor monotherapy. The high dose SGLT2 inhibitor/metformin combination resulted in a similar HbA1c but greater weight reduction; −0.47 kg (−0.88, −0.06) than the low dose combination therapy. The RR of genital infection with combination therapy was 2.22 (95% CI 1.33, 3.72) and 0.69 (95% CI 0.50, 0.96) compared with metformin and SGLT2 inhibitor monotherapy, respectively. The RR of diarrhoea was 2.23 (95% CI 1.46, 3.40) with combination therapy compared with SGLT2 inhibitor monotherapy. Conclusions: Initial SGLT2 inhibitor/metformin combination therapy has glycaemic and weight benefits compared with either agent alone and appears relatively safe. High dose SGLT2 inhibitor/metformin combination therapy appears to have modest weight, but no glycaemic benefits compared with the low dose combination therapy.","author":[{"dropping-particle":"","family":"Milder","given":"Tamara Y.","non-dropping-particle":"","parse-names":false,"suffix":""},{"dropping-particle":"","family":"Stocker","given":"Sophie L.","non-dropping-particle":"","parse-names":false,"suffix":""},{"dropping-particle":"","family":"Abdel Shaheed","given":"Christina","non-dropping-particle":"","parse-names":false,"suffix":""},{"dropping-particle":"","family":"McGrath-Cadell","given":"Lucy","non-dropping-particle":"","parse-names":false,"suffix":""},{"dropping-particle":"","family":"Samocha-Bonet","given":"Dorit","non-dropping-particle":"","parse-names":false,"suffix":""},{"dropping-particle":"","family":"Greenfield","given":"Jerry R.","non-dropping-particle":"","parse-names":false,"suffix":""},{"dropping-particle":"","family":"Day","given":"Richard O.","non-dropping-particle":"","parse-names":false,"suffix":""}],"container-title":"Journal of Clinical Medicine","id":"ITEM-1","issue":"1","issued":{"date-parts":[["2019"]]},"page":"45","title":"Combination Therapy with an SGLT2 Inhibitor as Initial Treatment for Type 2 Diabetes: A Systematic Review and Meta-Analysis","type":"article-journal","volume":"8"},"uris":["http://www.mendeley.com/documents/?uuid=e40d4f60-73b6-47f8-a01e-b74ac4abc77d"]}],"mendeley":{"formattedCitation":"(Milder &lt;i&gt;et al.&lt;/i&gt;, 2019)","plainTextFormattedCitation":"(Milder et al., 2019)","previouslyFormattedCitation":"(7)"},"properties":{"noteIndex":0},"schema":"https://github.com/citation-style-language/schema/raw/master/csl-citation.json"}</w:instrText>
      </w:r>
      <w:r w:rsidRPr="00006AA5">
        <w:rPr>
          <w:sz w:val="24"/>
          <w:szCs w:val="24"/>
        </w:rPr>
        <w:fldChar w:fldCharType="separate"/>
      </w:r>
      <w:r w:rsidRPr="00006AA5">
        <w:rPr>
          <w:noProof/>
          <w:sz w:val="24"/>
          <w:szCs w:val="24"/>
        </w:rPr>
        <w:t xml:space="preserve">(Milder </w:t>
      </w:r>
      <w:r w:rsidRPr="00006AA5">
        <w:rPr>
          <w:i/>
          <w:noProof/>
          <w:sz w:val="24"/>
          <w:szCs w:val="24"/>
        </w:rPr>
        <w:t>et al.</w:t>
      </w:r>
      <w:r w:rsidRPr="00006AA5">
        <w:rPr>
          <w:noProof/>
          <w:sz w:val="24"/>
          <w:szCs w:val="24"/>
        </w:rPr>
        <w:t>, 2019)</w:t>
      </w:r>
      <w:r w:rsidRPr="00006AA5">
        <w:rPr>
          <w:sz w:val="24"/>
          <w:szCs w:val="24"/>
        </w:rPr>
        <w:fldChar w:fldCharType="end"/>
      </w:r>
      <w:r w:rsidRPr="00006AA5">
        <w:rPr>
          <w:sz w:val="24"/>
          <w:szCs w:val="24"/>
        </w:rPr>
        <w:t>.</w:t>
      </w:r>
    </w:p>
    <w:p w14:paraId="7E4D0719" w14:textId="77777777" w:rsidR="00006AA5" w:rsidRDefault="00006AA5" w:rsidP="00006AA5">
      <w:pPr>
        <w:pBdr>
          <w:top w:val="nil"/>
          <w:left w:val="nil"/>
          <w:bottom w:val="nil"/>
          <w:right w:val="nil"/>
          <w:between w:val="nil"/>
        </w:pBdr>
        <w:ind w:firstLine="432"/>
        <w:jc w:val="both"/>
        <w:rPr>
          <w:b/>
          <w:color w:val="000000"/>
          <w:sz w:val="24"/>
          <w:szCs w:val="24"/>
        </w:rPr>
      </w:pPr>
      <w:proofErr w:type="spellStart"/>
      <w:r w:rsidRPr="00374843">
        <w:rPr>
          <w:color w:val="000000"/>
          <w:sz w:val="24"/>
          <w:szCs w:val="24"/>
        </w:rPr>
        <w:t>Alternatif</w:t>
      </w:r>
      <w:proofErr w:type="spellEnd"/>
      <w:r w:rsidRPr="00374843">
        <w:rPr>
          <w:color w:val="000000"/>
          <w:sz w:val="24"/>
          <w:szCs w:val="24"/>
        </w:rPr>
        <w:t xml:space="preserve"> </w:t>
      </w:r>
      <w:proofErr w:type="spellStart"/>
      <w:r w:rsidRPr="00374843">
        <w:rPr>
          <w:color w:val="000000"/>
          <w:sz w:val="24"/>
          <w:szCs w:val="24"/>
        </w:rPr>
        <w:t>kombinasi</w:t>
      </w:r>
      <w:proofErr w:type="spellEnd"/>
      <w:r w:rsidRPr="00374843">
        <w:rPr>
          <w:color w:val="000000"/>
          <w:sz w:val="24"/>
          <w:szCs w:val="24"/>
        </w:rPr>
        <w:t xml:space="preserve"> yang </w:t>
      </w:r>
      <w:proofErr w:type="spellStart"/>
      <w:r w:rsidRPr="00374843">
        <w:rPr>
          <w:color w:val="000000"/>
          <w:sz w:val="24"/>
          <w:szCs w:val="24"/>
        </w:rPr>
        <w:t>potensial</w:t>
      </w:r>
      <w:proofErr w:type="spellEnd"/>
      <w:r w:rsidRPr="00374843">
        <w:rPr>
          <w:color w:val="000000"/>
          <w:sz w:val="24"/>
          <w:szCs w:val="24"/>
        </w:rPr>
        <w:t xml:space="preserve"> </w:t>
      </w:r>
      <w:proofErr w:type="spellStart"/>
      <w:r w:rsidRPr="00374843">
        <w:rPr>
          <w:color w:val="000000"/>
          <w:sz w:val="24"/>
          <w:szCs w:val="24"/>
        </w:rPr>
        <w:t>pemberian</w:t>
      </w:r>
      <w:proofErr w:type="spellEnd"/>
      <w:r w:rsidRPr="00374843">
        <w:rPr>
          <w:color w:val="000000"/>
          <w:sz w:val="24"/>
          <w:szCs w:val="24"/>
        </w:rPr>
        <w:t xml:space="preserve"> </w:t>
      </w:r>
      <w:proofErr w:type="spellStart"/>
      <w:r w:rsidRPr="00374843">
        <w:rPr>
          <w:color w:val="000000"/>
          <w:sz w:val="24"/>
          <w:szCs w:val="24"/>
        </w:rPr>
        <w:t>obat</w:t>
      </w:r>
      <w:proofErr w:type="spellEnd"/>
      <w:r w:rsidRPr="00374843">
        <w:rPr>
          <w:color w:val="000000"/>
          <w:sz w:val="24"/>
          <w:szCs w:val="24"/>
        </w:rPr>
        <w:t xml:space="preserve"> </w:t>
      </w:r>
      <w:proofErr w:type="spellStart"/>
      <w:r w:rsidRPr="00374843">
        <w:rPr>
          <w:color w:val="000000"/>
          <w:sz w:val="24"/>
          <w:szCs w:val="24"/>
        </w:rPr>
        <w:t>golongan</w:t>
      </w:r>
      <w:proofErr w:type="spellEnd"/>
      <w:r w:rsidRPr="00374843">
        <w:rPr>
          <w:color w:val="000000"/>
          <w:sz w:val="24"/>
          <w:szCs w:val="24"/>
        </w:rPr>
        <w:t xml:space="preserve"> SGLT-2 Inhibitor </w:t>
      </w:r>
      <w:proofErr w:type="spellStart"/>
      <w:r w:rsidRPr="00374843">
        <w:rPr>
          <w:color w:val="000000"/>
          <w:sz w:val="24"/>
          <w:szCs w:val="24"/>
        </w:rPr>
        <w:t>dengan</w:t>
      </w:r>
      <w:proofErr w:type="spellEnd"/>
      <w:r w:rsidRPr="00374843">
        <w:rPr>
          <w:color w:val="000000"/>
          <w:sz w:val="24"/>
          <w:szCs w:val="24"/>
        </w:rPr>
        <w:t xml:space="preserve"> DPP-4 inhibitor. </w:t>
      </w:r>
      <w:proofErr w:type="spellStart"/>
      <w:r w:rsidRPr="00374843">
        <w:rPr>
          <w:color w:val="000000"/>
          <w:sz w:val="24"/>
          <w:szCs w:val="24"/>
        </w:rPr>
        <w:t>Penelitian</w:t>
      </w:r>
      <w:proofErr w:type="spellEnd"/>
      <w:r w:rsidRPr="00374843">
        <w:rPr>
          <w:color w:val="000000"/>
          <w:sz w:val="24"/>
          <w:szCs w:val="24"/>
        </w:rPr>
        <w:t xml:space="preserve"> </w:t>
      </w:r>
      <w:proofErr w:type="spellStart"/>
      <w:r w:rsidRPr="00374843">
        <w:rPr>
          <w:color w:val="000000"/>
          <w:sz w:val="24"/>
          <w:szCs w:val="24"/>
        </w:rPr>
        <w:t>sebelumnya</w:t>
      </w:r>
      <w:proofErr w:type="spellEnd"/>
      <w:r w:rsidRPr="00374843">
        <w:rPr>
          <w:color w:val="000000"/>
          <w:sz w:val="24"/>
          <w:szCs w:val="24"/>
        </w:rPr>
        <w:t xml:space="preserve"> </w:t>
      </w:r>
      <w:proofErr w:type="spellStart"/>
      <w:r w:rsidRPr="00374843">
        <w:rPr>
          <w:color w:val="000000"/>
          <w:sz w:val="24"/>
          <w:szCs w:val="24"/>
        </w:rPr>
        <w:t>menunjukkan</w:t>
      </w:r>
      <w:proofErr w:type="spellEnd"/>
      <w:r w:rsidRPr="00374843">
        <w:rPr>
          <w:color w:val="000000"/>
          <w:sz w:val="24"/>
          <w:szCs w:val="24"/>
        </w:rPr>
        <w:t xml:space="preserve"> </w:t>
      </w:r>
      <w:proofErr w:type="spellStart"/>
      <w:r w:rsidRPr="00374843">
        <w:rPr>
          <w:color w:val="000000"/>
          <w:sz w:val="24"/>
          <w:szCs w:val="24"/>
        </w:rPr>
        <w:t>bahwa</w:t>
      </w:r>
      <w:proofErr w:type="spellEnd"/>
      <w:r w:rsidRPr="00374843">
        <w:rPr>
          <w:color w:val="000000"/>
          <w:sz w:val="24"/>
          <w:szCs w:val="24"/>
        </w:rPr>
        <w:t xml:space="preserve"> </w:t>
      </w:r>
      <w:proofErr w:type="spellStart"/>
      <w:r w:rsidRPr="00374843">
        <w:rPr>
          <w:color w:val="000000"/>
          <w:sz w:val="24"/>
          <w:szCs w:val="24"/>
        </w:rPr>
        <w:t>kombinasi</w:t>
      </w:r>
      <w:proofErr w:type="spellEnd"/>
      <w:r w:rsidRPr="00374843">
        <w:rPr>
          <w:color w:val="000000"/>
          <w:sz w:val="24"/>
          <w:szCs w:val="24"/>
        </w:rPr>
        <w:t xml:space="preserve"> SGLT-2 inhibitor dan DPP-4 inhibitor </w:t>
      </w:r>
      <w:proofErr w:type="spellStart"/>
      <w:r w:rsidRPr="00374843">
        <w:rPr>
          <w:color w:val="000000"/>
          <w:sz w:val="24"/>
          <w:szCs w:val="24"/>
        </w:rPr>
        <w:t>berpotensi</w:t>
      </w:r>
      <w:proofErr w:type="spellEnd"/>
      <w:r w:rsidRPr="00374843">
        <w:rPr>
          <w:color w:val="000000"/>
          <w:sz w:val="24"/>
          <w:szCs w:val="24"/>
        </w:rPr>
        <w:t xml:space="preserve"> </w:t>
      </w:r>
      <w:proofErr w:type="spellStart"/>
      <w:r w:rsidRPr="00374843">
        <w:rPr>
          <w:color w:val="000000"/>
          <w:sz w:val="24"/>
          <w:szCs w:val="24"/>
        </w:rPr>
        <w:t>menurunkan</w:t>
      </w:r>
      <w:proofErr w:type="spellEnd"/>
      <w:r w:rsidRPr="00374843">
        <w:rPr>
          <w:color w:val="000000"/>
          <w:sz w:val="24"/>
          <w:szCs w:val="24"/>
        </w:rPr>
        <w:t xml:space="preserve"> </w:t>
      </w:r>
      <w:proofErr w:type="spellStart"/>
      <w:r>
        <w:rPr>
          <w:color w:val="000000"/>
          <w:sz w:val="24"/>
          <w:szCs w:val="24"/>
        </w:rPr>
        <w:t>kadar</w:t>
      </w:r>
      <w:proofErr w:type="spellEnd"/>
      <w:r>
        <w:rPr>
          <w:color w:val="000000"/>
          <w:sz w:val="24"/>
          <w:szCs w:val="24"/>
        </w:rPr>
        <w:t xml:space="preserve"> HbA1c </w:t>
      </w:r>
      <w:r>
        <w:rPr>
          <w:b/>
          <w:color w:val="000000"/>
          <w:sz w:val="24"/>
          <w:szCs w:val="24"/>
        </w:rPr>
        <w:fldChar w:fldCharType="begin" w:fldLock="1"/>
      </w:r>
      <w:r>
        <w:rPr>
          <w:color w:val="000000"/>
        </w:rPr>
        <w:instrText>ADDIN CSL_CITATION {"citationItems":[{"id":"ITEM-1","itemData":{"DOI":"10.4103/ijem.IJEM_162_17","ISSN":"22309500","abstract":"Involvement of multiple physiological pathways and complex pathogenesis is responsible for the onset and progression of type 2 diabetes mellitus (T2DM). Since it is difficult to manage multiple pathophysiological defects by monotherapy, a combination therapy with two or more oral antidiabetic agents (OADs) may help achieve euglycemia in T2DM patients. Choice of OADs is difficult with growing armamentarium of antidiabetic therapy. Ideally, drug combination should aim at reversal of known pathogenic abnormalities and demonstrate improvement in the overall metabolic health rather than simply reduce glycosylated hemoglobin (HbA1c) levels. Increased glucose reabsorption, a faulty pathological mechanism, is targeted by a novel class of drugs, namely, the sodium-glucose cotransporter-2 (SGLT2) inhibitors. Combination of SGLT2 inhibitors and other OADs complement each other due to their unique mechanism of action. In addition, the glucose-lowering effect of SGLT2 inhibitors remains independent of β-cell function and insulin sensitivity which reduces the chances of severe hypoglycemia in patients receiving these agents. Clinical studies from the past favor the use of SGLT2 inhibitors in combination with other agents to achieve better HbA1c levels, weight loss, and blood pressure control. In this review, we have made an attempt to explore the recommended guidelines for combination therapy, its advantages as either combination therapy or fixed-dose combinations therapy, and the role of SGLT2 inhibitors as a choice of drug as a combination with other OADs.","author":[{"dropping-particle":"","family":"Kalra","given":"Sanjay","non-dropping-particle":"","parse-names":false,"suffix":""},{"dropping-particle":"","family":"Kesavadev","given":"Jothydev","non-dropping-particle":"","parse-names":false,"suffix":""},{"dropping-particle":"","family":"Chadha","given":"Manoj","non-dropping-particle":"","parse-names":false,"suffix":""},{"dropping-particle":"","family":"Vijaya Kumar","given":"G.","non-dropping-particle":"","parse-names":false,"suffix":""}],"container-title":"Indian Journal of Endocrinology and Metabolism","id":"ITEM-1","issue":"6","issued":{"date-parts":[["2018"]]},"page":"827-836","title":"Sodium-glucose cotransporter-2 inhibitors in combination with other glucose-lowering agents for the treatment of type 2 diabetes mellitus","type":"article-journal","volume":"22"},"uris":["http://www.mendeley.com/documents/?uuid=a8788bf4-bc1f-4c70-b225-cd293f5d8010"]}],"mendeley":{"formattedCitation":"(Kalra &lt;i&gt;et al.&lt;/i&gt;, 2018)","plainTextFormattedCitation":"(Kalra et al., 2018)","previouslyFormattedCitation":"(8)"},"properties":{"noteIndex":0},"schema":"https://github.com/citation-style-language/schema/raw/master/csl-citation.json"}</w:instrText>
      </w:r>
      <w:r>
        <w:rPr>
          <w:b/>
          <w:color w:val="000000"/>
          <w:sz w:val="24"/>
          <w:szCs w:val="24"/>
        </w:rPr>
        <w:fldChar w:fldCharType="separate"/>
      </w:r>
      <w:r w:rsidRPr="00DA390C">
        <w:rPr>
          <w:noProof/>
          <w:color w:val="000000"/>
          <w:sz w:val="24"/>
          <w:szCs w:val="24"/>
        </w:rPr>
        <w:t xml:space="preserve">(Kalra </w:t>
      </w:r>
      <w:r w:rsidRPr="00DA390C">
        <w:rPr>
          <w:i/>
          <w:noProof/>
          <w:color w:val="000000"/>
          <w:sz w:val="24"/>
          <w:szCs w:val="24"/>
        </w:rPr>
        <w:t>et al.</w:t>
      </w:r>
      <w:r w:rsidRPr="00DA390C">
        <w:rPr>
          <w:noProof/>
          <w:color w:val="000000"/>
          <w:sz w:val="24"/>
          <w:szCs w:val="24"/>
        </w:rPr>
        <w:t>, 2018)</w:t>
      </w:r>
      <w:r>
        <w:rPr>
          <w:b/>
          <w:color w:val="000000"/>
          <w:sz w:val="24"/>
          <w:szCs w:val="24"/>
        </w:rPr>
        <w:fldChar w:fldCharType="end"/>
      </w:r>
      <w:r w:rsidRPr="00374843">
        <w:rPr>
          <w:color w:val="000000"/>
          <w:sz w:val="24"/>
          <w:szCs w:val="24"/>
        </w:rPr>
        <w:t xml:space="preserve">. </w:t>
      </w:r>
      <w:proofErr w:type="spellStart"/>
      <w:r w:rsidRPr="00374843">
        <w:rPr>
          <w:color w:val="000000"/>
          <w:sz w:val="24"/>
          <w:szCs w:val="24"/>
        </w:rPr>
        <w:t>Saxagliptin</w:t>
      </w:r>
      <w:proofErr w:type="spellEnd"/>
      <w:r w:rsidRPr="00374843">
        <w:rPr>
          <w:color w:val="000000"/>
          <w:sz w:val="24"/>
          <w:szCs w:val="24"/>
        </w:rPr>
        <w:t xml:space="preserve"> </w:t>
      </w:r>
      <w:proofErr w:type="spellStart"/>
      <w:r w:rsidRPr="00374843">
        <w:rPr>
          <w:color w:val="000000"/>
          <w:sz w:val="24"/>
          <w:szCs w:val="24"/>
        </w:rPr>
        <w:t>adalah</w:t>
      </w:r>
      <w:proofErr w:type="spellEnd"/>
      <w:r w:rsidRPr="00374843">
        <w:rPr>
          <w:color w:val="000000"/>
          <w:sz w:val="24"/>
          <w:szCs w:val="24"/>
        </w:rPr>
        <w:t xml:space="preserve"> </w:t>
      </w:r>
      <w:proofErr w:type="spellStart"/>
      <w:r w:rsidRPr="00374843">
        <w:rPr>
          <w:color w:val="000000"/>
          <w:sz w:val="24"/>
          <w:szCs w:val="24"/>
        </w:rPr>
        <w:t>penghambat</w:t>
      </w:r>
      <w:proofErr w:type="spellEnd"/>
      <w:r w:rsidRPr="00374843">
        <w:rPr>
          <w:color w:val="000000"/>
          <w:sz w:val="24"/>
          <w:szCs w:val="24"/>
        </w:rPr>
        <w:t xml:space="preserve"> DPP-4 yang </w:t>
      </w:r>
      <w:proofErr w:type="spellStart"/>
      <w:r w:rsidRPr="00374843">
        <w:rPr>
          <w:color w:val="000000"/>
          <w:sz w:val="24"/>
          <w:szCs w:val="24"/>
        </w:rPr>
        <w:t>meningkatkan</w:t>
      </w:r>
      <w:proofErr w:type="spellEnd"/>
      <w:r w:rsidRPr="00374843">
        <w:rPr>
          <w:color w:val="000000"/>
          <w:sz w:val="24"/>
          <w:szCs w:val="24"/>
        </w:rPr>
        <w:t xml:space="preserve"> </w:t>
      </w:r>
      <w:proofErr w:type="spellStart"/>
      <w:r w:rsidRPr="00374843">
        <w:rPr>
          <w:color w:val="000000"/>
          <w:sz w:val="24"/>
          <w:szCs w:val="24"/>
        </w:rPr>
        <w:t>kontrol</w:t>
      </w:r>
      <w:proofErr w:type="spellEnd"/>
      <w:r w:rsidRPr="00374843">
        <w:rPr>
          <w:color w:val="000000"/>
          <w:sz w:val="24"/>
          <w:szCs w:val="24"/>
        </w:rPr>
        <w:t xml:space="preserve"> </w:t>
      </w:r>
      <w:proofErr w:type="spellStart"/>
      <w:r w:rsidRPr="00374843">
        <w:rPr>
          <w:color w:val="000000"/>
          <w:sz w:val="24"/>
          <w:szCs w:val="24"/>
        </w:rPr>
        <w:t>glikemik</w:t>
      </w:r>
      <w:proofErr w:type="spellEnd"/>
      <w:r w:rsidRPr="00374843">
        <w:rPr>
          <w:color w:val="000000"/>
          <w:sz w:val="24"/>
          <w:szCs w:val="24"/>
        </w:rPr>
        <w:t xml:space="preserve"> </w:t>
      </w:r>
      <w:proofErr w:type="spellStart"/>
      <w:r w:rsidRPr="00374843">
        <w:rPr>
          <w:color w:val="000000"/>
          <w:sz w:val="24"/>
          <w:szCs w:val="24"/>
        </w:rPr>
        <w:t>dengan</w:t>
      </w:r>
      <w:proofErr w:type="spellEnd"/>
      <w:r w:rsidRPr="00374843">
        <w:rPr>
          <w:color w:val="000000"/>
          <w:sz w:val="24"/>
          <w:szCs w:val="24"/>
        </w:rPr>
        <w:t xml:space="preserve"> </w:t>
      </w:r>
      <w:proofErr w:type="spellStart"/>
      <w:r w:rsidRPr="00374843">
        <w:rPr>
          <w:color w:val="000000"/>
          <w:sz w:val="24"/>
          <w:szCs w:val="24"/>
        </w:rPr>
        <w:t>mencegah</w:t>
      </w:r>
      <w:proofErr w:type="spellEnd"/>
      <w:r w:rsidRPr="00374843">
        <w:rPr>
          <w:color w:val="000000"/>
          <w:sz w:val="24"/>
          <w:szCs w:val="24"/>
        </w:rPr>
        <w:t xml:space="preserve"> </w:t>
      </w:r>
      <w:proofErr w:type="spellStart"/>
      <w:r w:rsidRPr="00374843">
        <w:rPr>
          <w:color w:val="000000"/>
          <w:sz w:val="24"/>
          <w:szCs w:val="24"/>
        </w:rPr>
        <w:t>inaktivasi</w:t>
      </w:r>
      <w:proofErr w:type="spellEnd"/>
      <w:r w:rsidRPr="00374843">
        <w:rPr>
          <w:color w:val="000000"/>
          <w:sz w:val="24"/>
          <w:szCs w:val="24"/>
        </w:rPr>
        <w:t xml:space="preserve"> </w:t>
      </w:r>
      <w:proofErr w:type="spellStart"/>
      <w:r w:rsidRPr="00374843">
        <w:rPr>
          <w:color w:val="000000"/>
          <w:sz w:val="24"/>
          <w:szCs w:val="24"/>
        </w:rPr>
        <w:t>hormon</w:t>
      </w:r>
      <w:proofErr w:type="spellEnd"/>
      <w:r w:rsidRPr="00374843">
        <w:rPr>
          <w:color w:val="000000"/>
          <w:sz w:val="24"/>
          <w:szCs w:val="24"/>
        </w:rPr>
        <w:t xml:space="preserve"> incretin </w:t>
      </w:r>
      <w:r w:rsidRPr="00374843">
        <w:rPr>
          <w:i/>
          <w:color w:val="000000"/>
          <w:sz w:val="24"/>
          <w:szCs w:val="24"/>
        </w:rPr>
        <w:t>Glucagon like peptide-1</w:t>
      </w:r>
      <w:r w:rsidRPr="00374843">
        <w:rPr>
          <w:color w:val="000000"/>
          <w:sz w:val="24"/>
          <w:szCs w:val="24"/>
        </w:rPr>
        <w:t xml:space="preserve"> (GLP-1) dan </w:t>
      </w:r>
      <w:proofErr w:type="spellStart"/>
      <w:r w:rsidRPr="00374843">
        <w:rPr>
          <w:color w:val="000000"/>
          <w:sz w:val="24"/>
          <w:szCs w:val="24"/>
        </w:rPr>
        <w:t>polipeptida</w:t>
      </w:r>
      <w:proofErr w:type="spellEnd"/>
      <w:r w:rsidRPr="00374843">
        <w:rPr>
          <w:color w:val="000000"/>
          <w:sz w:val="24"/>
          <w:szCs w:val="24"/>
        </w:rPr>
        <w:t xml:space="preserve"> </w:t>
      </w:r>
      <w:proofErr w:type="spellStart"/>
      <w:r w:rsidRPr="00374843">
        <w:rPr>
          <w:color w:val="000000"/>
          <w:sz w:val="24"/>
          <w:szCs w:val="24"/>
        </w:rPr>
        <w:t>insulinotropik</w:t>
      </w:r>
      <w:proofErr w:type="spellEnd"/>
      <w:r w:rsidRPr="00374843">
        <w:rPr>
          <w:color w:val="000000"/>
          <w:sz w:val="24"/>
          <w:szCs w:val="24"/>
        </w:rPr>
        <w:t xml:space="preserve"> yang </w:t>
      </w:r>
      <w:proofErr w:type="spellStart"/>
      <w:r w:rsidRPr="00374843">
        <w:rPr>
          <w:color w:val="000000"/>
          <w:sz w:val="24"/>
          <w:szCs w:val="24"/>
        </w:rPr>
        <w:t>bergantung</w:t>
      </w:r>
      <w:proofErr w:type="spellEnd"/>
      <w:r w:rsidRPr="00374843">
        <w:rPr>
          <w:color w:val="000000"/>
          <w:sz w:val="24"/>
          <w:szCs w:val="24"/>
        </w:rPr>
        <w:t xml:space="preserve"> pada </w:t>
      </w:r>
      <w:proofErr w:type="spellStart"/>
      <w:r w:rsidRPr="00374843">
        <w:rPr>
          <w:color w:val="000000"/>
          <w:sz w:val="24"/>
          <w:szCs w:val="24"/>
        </w:rPr>
        <w:t>glukosa</w:t>
      </w:r>
      <w:proofErr w:type="spellEnd"/>
      <w:r>
        <w:rPr>
          <w:color w:val="000000"/>
          <w:sz w:val="24"/>
          <w:szCs w:val="24"/>
        </w:rPr>
        <w:t xml:space="preserve"> </w:t>
      </w:r>
      <w:r>
        <w:rPr>
          <w:b/>
          <w:color w:val="000000"/>
          <w:sz w:val="24"/>
          <w:szCs w:val="24"/>
        </w:rPr>
        <w:fldChar w:fldCharType="begin" w:fldLock="1"/>
      </w:r>
      <w:r>
        <w:rPr>
          <w:color w:val="000000"/>
        </w:rPr>
        <w:instrText>ADDIN CSL_CITATION {"citationItems":[{"id":"ITEM-1","itemData":{"DOI":"10.19106/jmedsci004802201606","ISSN":"01261312","abstract":"Diabetes mellitus (DM) is a chronic disease which caused around 1.5 million deaths in 2012. Type 2 diabetes mellitus (T2DM) accounts for 90% of DM worldwide. The prevalence of T2DM is increasing due to obesity. Clinical guidelines recommend the use of metformin as the first-line treatment, followed by the addition of 1 or 2 oral antidiabetic drugs (OADs), such as sulphonylurea (SU), an alpha-glucosidase inhibitor, or thiazolidinediones (TZDs). Recently, newer agents such as dipeptidyl peptidase 4 (DPP-4) inhibitors have been added to those treatment algorithms. The DPP-4 inhibitor is a class of OAD that inhibits the DPP-4 enzyme. Sitagliptin, saxagliptin, vildagliptin and linagliptin are DPP-4 inhibitors available for the treatment of T2DM in Indonesia and many other countries. The DPP-4 inhibitors have similar glycemic efficacy. However, they produce a moderate improvement in glycated hemoglobin (A1C). There are limited numbers of head-to-head trials of DPP-4 inhibitors. In addition, there are no data on the long-term DPP-4 inhibitors use safety (more than two years), mortality, diabetic complications, or health-related quality of life. Although DPP-inhibitors are not used as initial treatment for a majority of patients with T2DM, DPP-4 inhibitors can be used as add-on therapy in T2DM patients who are intolerant to, have contraindications for, or uncontrolled with the use of metformin, SU, or TZDs. The exact role of DPP-4 inhibitors among several other agents to manage T2DM is not clear. There are only a small number of long-term studies on DPP-4 inhibitors assessing the glycemic decrease efficacy, important clinical outcomes (cardiovascular events, mortality), or safety. In patients with chronic renal failure considered to use DPP-4 inhibitors, linagliptin can be recommended. There are inadequate data to assess the effect of DPP-4 inhibitors on the occurrence of acute pancreatitis. Overall, DPP-4 inhibitors are well-tolerated.","author":[{"dropping-particle":"","family":"Kristin","given":"Erna","non-dropping-particle":"","parse-names":false,"suffix":""}],"container-title":"Journal of thee Medical Sciences (Berkala Ilmu Kedokteran)","id":"ITEM-1","issue":"02","issued":{"date-parts":[["2016"]]},"page":"119-130","title":"Dipeptidyl Peptidase 4 (Dpp-4) Inhibitors for the Treatment of Type 2 Diabetes Mellitus","type":"article-journal","volume":"48"},"uris":["http://www.mendeley.com/documents/?uuid=7736e05d-95ab-4cd8-899a-7685a9a50af8"]}],"mendeley":{"formattedCitation":"(Kristin, 2016)","plainTextFormattedCitation":"(Kristin, 2016)","previouslyFormattedCitation":"(10)"},"properties":{"noteIndex":0},"schema":"https://github.com/citation-style-language/schema/raw/master/csl-citation.json"}</w:instrText>
      </w:r>
      <w:r>
        <w:rPr>
          <w:b/>
          <w:color w:val="000000"/>
          <w:sz w:val="24"/>
          <w:szCs w:val="24"/>
        </w:rPr>
        <w:fldChar w:fldCharType="separate"/>
      </w:r>
      <w:r w:rsidRPr="00DA390C">
        <w:rPr>
          <w:noProof/>
          <w:color w:val="000000"/>
          <w:sz w:val="24"/>
          <w:szCs w:val="24"/>
        </w:rPr>
        <w:t>(Kristin, 2016)</w:t>
      </w:r>
      <w:r>
        <w:rPr>
          <w:b/>
          <w:color w:val="000000"/>
          <w:sz w:val="24"/>
          <w:szCs w:val="24"/>
        </w:rPr>
        <w:fldChar w:fldCharType="end"/>
      </w:r>
      <w:r w:rsidRPr="00374843">
        <w:rPr>
          <w:color w:val="000000"/>
          <w:sz w:val="24"/>
          <w:szCs w:val="24"/>
        </w:rPr>
        <w:t xml:space="preserve">. </w:t>
      </w:r>
      <w:proofErr w:type="spellStart"/>
      <w:r w:rsidRPr="00374843">
        <w:rPr>
          <w:color w:val="000000"/>
          <w:sz w:val="24"/>
          <w:szCs w:val="24"/>
        </w:rPr>
        <w:t>Hormon</w:t>
      </w:r>
      <w:proofErr w:type="spellEnd"/>
      <w:r w:rsidRPr="00374843">
        <w:rPr>
          <w:color w:val="000000"/>
          <w:sz w:val="24"/>
          <w:szCs w:val="24"/>
        </w:rPr>
        <w:t xml:space="preserve"> </w:t>
      </w:r>
      <w:proofErr w:type="spellStart"/>
      <w:r w:rsidRPr="00374843">
        <w:rPr>
          <w:color w:val="000000"/>
          <w:sz w:val="24"/>
          <w:szCs w:val="24"/>
        </w:rPr>
        <w:t>inkretin</w:t>
      </w:r>
      <w:proofErr w:type="spellEnd"/>
      <w:r w:rsidRPr="00374843">
        <w:rPr>
          <w:color w:val="000000"/>
          <w:sz w:val="24"/>
          <w:szCs w:val="24"/>
        </w:rPr>
        <w:t xml:space="preserve"> (GLP-1) </w:t>
      </w:r>
      <w:proofErr w:type="spellStart"/>
      <w:r w:rsidRPr="00374843">
        <w:rPr>
          <w:color w:val="000000"/>
          <w:sz w:val="24"/>
          <w:szCs w:val="24"/>
        </w:rPr>
        <w:t>dilepaskan</w:t>
      </w:r>
      <w:proofErr w:type="spellEnd"/>
      <w:r w:rsidRPr="00374843">
        <w:rPr>
          <w:color w:val="000000"/>
          <w:sz w:val="24"/>
          <w:szCs w:val="24"/>
        </w:rPr>
        <w:t xml:space="preserve"> </w:t>
      </w:r>
      <w:proofErr w:type="spellStart"/>
      <w:r w:rsidRPr="00374843">
        <w:rPr>
          <w:color w:val="000000"/>
          <w:sz w:val="24"/>
          <w:szCs w:val="24"/>
        </w:rPr>
        <w:t>dengan</w:t>
      </w:r>
      <w:proofErr w:type="spellEnd"/>
      <w:r w:rsidRPr="00374843">
        <w:rPr>
          <w:color w:val="000000"/>
          <w:sz w:val="24"/>
          <w:szCs w:val="24"/>
        </w:rPr>
        <w:t xml:space="preserve"> </w:t>
      </w:r>
      <w:proofErr w:type="spellStart"/>
      <w:r w:rsidRPr="00374843">
        <w:rPr>
          <w:color w:val="000000"/>
          <w:sz w:val="24"/>
          <w:szCs w:val="24"/>
        </w:rPr>
        <w:t>cepat</w:t>
      </w:r>
      <w:proofErr w:type="spellEnd"/>
      <w:r w:rsidRPr="00374843">
        <w:rPr>
          <w:color w:val="000000"/>
          <w:sz w:val="24"/>
          <w:szCs w:val="24"/>
        </w:rPr>
        <w:t xml:space="preserve">. Setelah </w:t>
      </w:r>
      <w:proofErr w:type="spellStart"/>
      <w:r w:rsidRPr="00374843">
        <w:rPr>
          <w:color w:val="000000"/>
          <w:sz w:val="24"/>
          <w:szCs w:val="24"/>
        </w:rPr>
        <w:t>dilepaskan</w:t>
      </w:r>
      <w:proofErr w:type="spellEnd"/>
      <w:r w:rsidRPr="00374843">
        <w:rPr>
          <w:color w:val="000000"/>
          <w:sz w:val="24"/>
          <w:szCs w:val="24"/>
        </w:rPr>
        <w:t xml:space="preserve"> </w:t>
      </w:r>
      <w:proofErr w:type="spellStart"/>
      <w:r w:rsidRPr="00374843">
        <w:rPr>
          <w:color w:val="000000"/>
          <w:sz w:val="24"/>
          <w:szCs w:val="24"/>
        </w:rPr>
        <w:t>hormon</w:t>
      </w:r>
      <w:proofErr w:type="spellEnd"/>
      <w:r w:rsidRPr="00374843">
        <w:rPr>
          <w:color w:val="000000"/>
          <w:sz w:val="24"/>
          <w:szCs w:val="24"/>
        </w:rPr>
        <w:t xml:space="preserve"> </w:t>
      </w:r>
      <w:proofErr w:type="spellStart"/>
      <w:r w:rsidRPr="00374843">
        <w:rPr>
          <w:color w:val="000000"/>
          <w:sz w:val="24"/>
          <w:szCs w:val="24"/>
        </w:rPr>
        <w:t>ini</w:t>
      </w:r>
      <w:proofErr w:type="spellEnd"/>
      <w:r w:rsidRPr="00374843">
        <w:rPr>
          <w:color w:val="000000"/>
          <w:sz w:val="24"/>
          <w:szCs w:val="24"/>
        </w:rPr>
        <w:t xml:space="preserve"> </w:t>
      </w:r>
      <w:proofErr w:type="spellStart"/>
      <w:r w:rsidRPr="00374843">
        <w:rPr>
          <w:color w:val="000000"/>
          <w:sz w:val="24"/>
          <w:szCs w:val="24"/>
        </w:rPr>
        <w:t>akan</w:t>
      </w:r>
      <w:proofErr w:type="spellEnd"/>
      <w:r w:rsidRPr="00374843">
        <w:rPr>
          <w:color w:val="000000"/>
          <w:sz w:val="24"/>
          <w:szCs w:val="24"/>
        </w:rPr>
        <w:t xml:space="preserve"> </w:t>
      </w:r>
      <w:proofErr w:type="spellStart"/>
      <w:r w:rsidRPr="00374843">
        <w:rPr>
          <w:color w:val="000000"/>
          <w:sz w:val="24"/>
          <w:szCs w:val="24"/>
        </w:rPr>
        <w:t>cepat</w:t>
      </w:r>
      <w:proofErr w:type="spellEnd"/>
      <w:r w:rsidRPr="00374843">
        <w:rPr>
          <w:color w:val="000000"/>
          <w:sz w:val="24"/>
          <w:szCs w:val="24"/>
        </w:rPr>
        <w:t xml:space="preserve"> </w:t>
      </w:r>
      <w:proofErr w:type="spellStart"/>
      <w:r w:rsidRPr="00374843">
        <w:rPr>
          <w:color w:val="000000"/>
          <w:sz w:val="24"/>
          <w:szCs w:val="24"/>
        </w:rPr>
        <w:t>didegradasi</w:t>
      </w:r>
      <w:proofErr w:type="spellEnd"/>
      <w:r w:rsidRPr="00374843">
        <w:rPr>
          <w:color w:val="000000"/>
          <w:sz w:val="24"/>
          <w:szCs w:val="24"/>
        </w:rPr>
        <w:t xml:space="preserve"> oleh </w:t>
      </w:r>
      <w:proofErr w:type="spellStart"/>
      <w:r w:rsidRPr="00374843">
        <w:rPr>
          <w:color w:val="000000"/>
          <w:sz w:val="24"/>
          <w:szCs w:val="24"/>
        </w:rPr>
        <w:t>enzim</w:t>
      </w:r>
      <w:proofErr w:type="spellEnd"/>
      <w:r w:rsidRPr="00374843">
        <w:rPr>
          <w:color w:val="000000"/>
          <w:sz w:val="24"/>
          <w:szCs w:val="24"/>
        </w:rPr>
        <w:t xml:space="preserve"> DPP-4. GLP-1 </w:t>
      </w:r>
      <w:proofErr w:type="spellStart"/>
      <w:r w:rsidRPr="00374843">
        <w:rPr>
          <w:color w:val="000000"/>
          <w:sz w:val="24"/>
          <w:szCs w:val="24"/>
        </w:rPr>
        <w:t>adalah</w:t>
      </w:r>
      <w:proofErr w:type="spellEnd"/>
      <w:r w:rsidRPr="00374843">
        <w:rPr>
          <w:color w:val="000000"/>
          <w:sz w:val="24"/>
          <w:szCs w:val="24"/>
        </w:rPr>
        <w:t xml:space="preserve"> </w:t>
      </w:r>
      <w:proofErr w:type="spellStart"/>
      <w:r w:rsidRPr="00374843">
        <w:rPr>
          <w:color w:val="000000"/>
          <w:sz w:val="24"/>
          <w:szCs w:val="24"/>
        </w:rPr>
        <w:t>suatu</w:t>
      </w:r>
      <w:proofErr w:type="spellEnd"/>
      <w:r w:rsidRPr="00374843">
        <w:rPr>
          <w:color w:val="000000"/>
          <w:sz w:val="24"/>
          <w:szCs w:val="24"/>
        </w:rPr>
        <w:t xml:space="preserve"> </w:t>
      </w:r>
      <w:proofErr w:type="spellStart"/>
      <w:r w:rsidRPr="00374843">
        <w:rPr>
          <w:color w:val="000000"/>
          <w:sz w:val="24"/>
          <w:szCs w:val="24"/>
        </w:rPr>
        <w:t>hormon</w:t>
      </w:r>
      <w:proofErr w:type="spellEnd"/>
      <w:r w:rsidRPr="00374843">
        <w:rPr>
          <w:color w:val="000000"/>
          <w:sz w:val="24"/>
          <w:szCs w:val="24"/>
        </w:rPr>
        <w:t xml:space="preserve"> </w:t>
      </w:r>
      <w:proofErr w:type="spellStart"/>
      <w:r w:rsidRPr="00374843">
        <w:rPr>
          <w:color w:val="000000"/>
          <w:sz w:val="24"/>
          <w:szCs w:val="24"/>
        </w:rPr>
        <w:t>hiperglikemik</w:t>
      </w:r>
      <w:proofErr w:type="spellEnd"/>
      <w:r w:rsidRPr="00374843">
        <w:rPr>
          <w:color w:val="000000"/>
          <w:sz w:val="24"/>
          <w:szCs w:val="24"/>
        </w:rPr>
        <w:t xml:space="preserve"> yang </w:t>
      </w:r>
      <w:proofErr w:type="spellStart"/>
      <w:r w:rsidRPr="00374843">
        <w:rPr>
          <w:color w:val="000000"/>
          <w:sz w:val="24"/>
          <w:szCs w:val="24"/>
        </w:rPr>
        <w:t>mempunyai</w:t>
      </w:r>
      <w:proofErr w:type="spellEnd"/>
      <w:r w:rsidRPr="00374843">
        <w:rPr>
          <w:color w:val="000000"/>
          <w:sz w:val="24"/>
          <w:szCs w:val="24"/>
        </w:rPr>
        <w:t xml:space="preserve"> </w:t>
      </w:r>
      <w:proofErr w:type="spellStart"/>
      <w:r w:rsidRPr="00374843">
        <w:rPr>
          <w:color w:val="000000"/>
          <w:sz w:val="24"/>
          <w:szCs w:val="24"/>
        </w:rPr>
        <w:t>peran</w:t>
      </w:r>
      <w:proofErr w:type="spellEnd"/>
      <w:r w:rsidRPr="00374843">
        <w:rPr>
          <w:color w:val="000000"/>
          <w:sz w:val="24"/>
          <w:szCs w:val="24"/>
        </w:rPr>
        <w:t xml:space="preserve"> </w:t>
      </w:r>
      <w:proofErr w:type="spellStart"/>
      <w:r w:rsidRPr="00374843">
        <w:rPr>
          <w:color w:val="000000"/>
          <w:sz w:val="24"/>
          <w:szCs w:val="24"/>
        </w:rPr>
        <w:t>untuk</w:t>
      </w:r>
      <w:proofErr w:type="spellEnd"/>
      <w:r w:rsidRPr="00374843">
        <w:rPr>
          <w:color w:val="000000"/>
          <w:sz w:val="24"/>
          <w:szCs w:val="24"/>
        </w:rPr>
        <w:t xml:space="preserve"> </w:t>
      </w:r>
      <w:proofErr w:type="spellStart"/>
      <w:r w:rsidRPr="00374843">
        <w:rPr>
          <w:color w:val="000000"/>
          <w:sz w:val="24"/>
          <w:szCs w:val="24"/>
        </w:rPr>
        <w:t>memperpanjang</w:t>
      </w:r>
      <w:proofErr w:type="spellEnd"/>
      <w:r w:rsidRPr="00374843">
        <w:rPr>
          <w:color w:val="000000"/>
          <w:sz w:val="24"/>
          <w:szCs w:val="24"/>
        </w:rPr>
        <w:t xml:space="preserve"> </w:t>
      </w:r>
      <w:proofErr w:type="spellStart"/>
      <w:r w:rsidRPr="00374843">
        <w:rPr>
          <w:color w:val="000000"/>
          <w:sz w:val="24"/>
          <w:szCs w:val="24"/>
        </w:rPr>
        <w:t>penyerapan</w:t>
      </w:r>
      <w:proofErr w:type="spellEnd"/>
      <w:r w:rsidRPr="00374843">
        <w:rPr>
          <w:color w:val="000000"/>
          <w:sz w:val="24"/>
          <w:szCs w:val="24"/>
        </w:rPr>
        <w:t xml:space="preserve"> insulin </w:t>
      </w:r>
      <w:proofErr w:type="spellStart"/>
      <w:r w:rsidRPr="00374843">
        <w:rPr>
          <w:color w:val="000000"/>
          <w:sz w:val="24"/>
          <w:szCs w:val="24"/>
        </w:rPr>
        <w:t>dari</w:t>
      </w:r>
      <w:proofErr w:type="spellEnd"/>
      <w:r w:rsidRPr="00374843">
        <w:rPr>
          <w:color w:val="000000"/>
          <w:sz w:val="24"/>
          <w:szCs w:val="24"/>
        </w:rPr>
        <w:t xml:space="preserve"> </w:t>
      </w:r>
      <w:proofErr w:type="spellStart"/>
      <w:r w:rsidRPr="00374843">
        <w:rPr>
          <w:color w:val="000000"/>
          <w:sz w:val="24"/>
          <w:szCs w:val="24"/>
        </w:rPr>
        <w:t>saluran</w:t>
      </w:r>
      <w:proofErr w:type="spellEnd"/>
      <w:r w:rsidRPr="00374843">
        <w:rPr>
          <w:color w:val="000000"/>
          <w:sz w:val="24"/>
          <w:szCs w:val="24"/>
        </w:rPr>
        <w:t xml:space="preserve"> </w:t>
      </w:r>
      <w:proofErr w:type="spellStart"/>
      <w:r w:rsidRPr="00374843">
        <w:rPr>
          <w:color w:val="000000"/>
          <w:sz w:val="24"/>
          <w:szCs w:val="24"/>
        </w:rPr>
        <w:t>pencernaan</w:t>
      </w:r>
      <w:proofErr w:type="spellEnd"/>
      <w:r w:rsidRPr="00374843">
        <w:rPr>
          <w:color w:val="000000"/>
          <w:sz w:val="24"/>
          <w:szCs w:val="24"/>
        </w:rPr>
        <w:t xml:space="preserve"> dan </w:t>
      </w:r>
      <w:proofErr w:type="spellStart"/>
      <w:r w:rsidRPr="00374843">
        <w:rPr>
          <w:color w:val="000000"/>
          <w:sz w:val="24"/>
          <w:szCs w:val="24"/>
        </w:rPr>
        <w:t>mempunyai</w:t>
      </w:r>
      <w:proofErr w:type="spellEnd"/>
      <w:r w:rsidRPr="00374843">
        <w:rPr>
          <w:color w:val="000000"/>
          <w:sz w:val="24"/>
          <w:szCs w:val="24"/>
        </w:rPr>
        <w:t xml:space="preserve"> </w:t>
      </w:r>
      <w:proofErr w:type="spellStart"/>
      <w:r w:rsidRPr="00374843">
        <w:rPr>
          <w:color w:val="000000"/>
          <w:sz w:val="24"/>
          <w:szCs w:val="24"/>
        </w:rPr>
        <w:t>peran</w:t>
      </w:r>
      <w:proofErr w:type="spellEnd"/>
      <w:r w:rsidRPr="00374843">
        <w:rPr>
          <w:color w:val="000000"/>
          <w:sz w:val="24"/>
          <w:szCs w:val="24"/>
        </w:rPr>
        <w:t xml:space="preserve"> </w:t>
      </w:r>
      <w:proofErr w:type="spellStart"/>
      <w:r w:rsidRPr="00374843">
        <w:rPr>
          <w:color w:val="000000"/>
          <w:sz w:val="24"/>
          <w:szCs w:val="24"/>
        </w:rPr>
        <w:t>penting</w:t>
      </w:r>
      <w:proofErr w:type="spellEnd"/>
      <w:r w:rsidRPr="00374843">
        <w:rPr>
          <w:color w:val="000000"/>
          <w:sz w:val="24"/>
          <w:szCs w:val="24"/>
        </w:rPr>
        <w:t xml:space="preserve"> </w:t>
      </w:r>
      <w:proofErr w:type="spellStart"/>
      <w:r w:rsidRPr="00374843">
        <w:rPr>
          <w:color w:val="000000"/>
          <w:sz w:val="24"/>
          <w:szCs w:val="24"/>
        </w:rPr>
        <w:t>dalam</w:t>
      </w:r>
      <w:proofErr w:type="spellEnd"/>
      <w:r w:rsidRPr="00374843">
        <w:rPr>
          <w:color w:val="000000"/>
          <w:sz w:val="24"/>
          <w:szCs w:val="24"/>
        </w:rPr>
        <w:t xml:space="preserve"> </w:t>
      </w:r>
      <w:proofErr w:type="spellStart"/>
      <w:r w:rsidRPr="00374843">
        <w:rPr>
          <w:color w:val="000000"/>
          <w:sz w:val="24"/>
          <w:szCs w:val="24"/>
        </w:rPr>
        <w:t>pemeliharaan</w:t>
      </w:r>
      <w:proofErr w:type="spellEnd"/>
      <w:r w:rsidRPr="00374843">
        <w:rPr>
          <w:color w:val="000000"/>
          <w:sz w:val="24"/>
          <w:szCs w:val="24"/>
        </w:rPr>
        <w:t xml:space="preserve"> homeostasis </w:t>
      </w:r>
      <w:proofErr w:type="spellStart"/>
      <w:r w:rsidRPr="00374843">
        <w:rPr>
          <w:color w:val="000000"/>
          <w:sz w:val="24"/>
          <w:szCs w:val="24"/>
        </w:rPr>
        <w:t>dengan</w:t>
      </w:r>
      <w:proofErr w:type="spellEnd"/>
      <w:r w:rsidRPr="00374843">
        <w:rPr>
          <w:color w:val="000000"/>
          <w:sz w:val="24"/>
          <w:szCs w:val="24"/>
        </w:rPr>
        <w:t xml:space="preserve"> </w:t>
      </w:r>
      <w:proofErr w:type="spellStart"/>
      <w:r w:rsidRPr="00374843">
        <w:rPr>
          <w:color w:val="000000"/>
          <w:sz w:val="24"/>
          <w:szCs w:val="24"/>
        </w:rPr>
        <w:t>melibatkan</w:t>
      </w:r>
      <w:proofErr w:type="spellEnd"/>
      <w:r w:rsidRPr="00374843">
        <w:rPr>
          <w:color w:val="000000"/>
          <w:sz w:val="24"/>
          <w:szCs w:val="24"/>
        </w:rPr>
        <w:t xml:space="preserve"> </w:t>
      </w:r>
      <w:proofErr w:type="spellStart"/>
      <w:r w:rsidRPr="00374843">
        <w:rPr>
          <w:color w:val="000000"/>
          <w:sz w:val="24"/>
          <w:szCs w:val="24"/>
        </w:rPr>
        <w:t>peningkatan</w:t>
      </w:r>
      <w:proofErr w:type="spellEnd"/>
      <w:r w:rsidRPr="00374843">
        <w:rPr>
          <w:color w:val="000000"/>
          <w:sz w:val="24"/>
          <w:szCs w:val="24"/>
        </w:rPr>
        <w:t xml:space="preserve"> </w:t>
      </w:r>
      <w:proofErr w:type="spellStart"/>
      <w:r w:rsidRPr="00374843">
        <w:rPr>
          <w:color w:val="000000"/>
          <w:sz w:val="24"/>
          <w:szCs w:val="24"/>
        </w:rPr>
        <w:t>ekspresi</w:t>
      </w:r>
      <w:proofErr w:type="spellEnd"/>
      <w:r w:rsidRPr="00374843">
        <w:rPr>
          <w:color w:val="000000"/>
          <w:sz w:val="24"/>
          <w:szCs w:val="24"/>
        </w:rPr>
        <w:t xml:space="preserve"> GLUT-2 (</w:t>
      </w:r>
      <w:r w:rsidRPr="00374843">
        <w:rPr>
          <w:i/>
          <w:color w:val="000000"/>
          <w:sz w:val="24"/>
          <w:szCs w:val="24"/>
        </w:rPr>
        <w:t>Glucose transporter 2</w:t>
      </w:r>
      <w:r w:rsidRPr="00374843">
        <w:rPr>
          <w:color w:val="000000"/>
          <w:sz w:val="24"/>
          <w:szCs w:val="24"/>
        </w:rPr>
        <w:t xml:space="preserve">) </w:t>
      </w:r>
      <w:r>
        <w:rPr>
          <w:b/>
          <w:color w:val="000000"/>
          <w:sz w:val="24"/>
          <w:szCs w:val="24"/>
        </w:rPr>
        <w:fldChar w:fldCharType="begin" w:fldLock="1"/>
      </w:r>
      <w:r>
        <w:rPr>
          <w:color w:val="000000"/>
        </w:rPr>
        <w:instrText>ADDIN CSL_CITATION {"citationItems":[{"id":"ITEM-1","itemData":{"DOI":"10.1016/j.molmet.2019.09.010","ISSN":"22128778","PMID":"31767182","abstract":"Background: The glucagon-like peptide-1 (GLP-1) is a multifaceted hormone with broad pharmacological potential. Among the numerous metabolic effects of GLP-1 are the glucose-dependent stimulation of insulin secretion, decrease of gastric emptying, inhibition of food intake, increase of natriuresis and diuresis, and modulation of rodent β-cell proliferation. GLP-1 also has cardio- and neuroprotective effects, decreases inflammation and apoptosis, and has implications for learning and memory, reward behavior, and palatability. Biochemically modified for enhanced potency and sustained action, GLP-1 receptor agonists are successfully in clinical use for the treatment of type-2 diabetes, and several GLP-1-based pharmacotherapies are in clinical evaluation for the treatment of obesity. Scope of review: In this review, we provide a detailed overview on the multifaceted nature of GLP-1 and its pharmacology and discuss its therapeutic implications on various diseases. Major conclusions: Since its discovery, GLP-1 has emerged as a pleiotropic hormone with a myriad of metabolic functions that go well beyond its classical identification as an incretin hormone. The numerous beneficial effects of GLP-1 render this hormone an interesting candidate for the development of pharmacotherapies to treat obesity, diabetes, and neurodegenerative disorders","author":[{"dropping-particle":"","family":"Muller","given":"T. D.","non-dropping-particle":"","parse-names":false,"suffix":""},{"dropping-particle":"","family":"Finan","given":"B.","non-dropping-particle":"","parse-names":false,"suffix":""},{"dropping-particle":"","family":"Bloom","given":"S. R.","non-dropping-particle":"","parse-names":false,"suffix":""},{"dropping-particle":"","family":"D'Alessio","given":"D.","non-dropping-particle":"","parse-names":false,"suffix":""},{"dropping-particle":"","family":"Drucker","given":"D. J.","non-dropping-particle":"","parse-names":false,"suffix":""},{"dropping-particle":"","family":"Flatt","given":"P. R.","non-dropping-particle":"","parse-names":false,"suffix":""},{"dropping-particle":"","family":"Fritsche","given":"A.","non-dropping-particle":"","parse-names":false,"suffix":""},{"dropping-particle":"","family":"Gribble","given":"F.","non-dropping-particle":"","parse-names":false,"suffix":""},{"dropping-particle":"","family":"Grill","given":"H. J.","non-dropping-particle":"","parse-names":false,"suffix":""},{"dropping-particle":"","family":"Habener","given":"J. F.","non-dropping-particle":"","parse-names":false,"suffix":""},{"dropping-particle":"","family":"Holst","given":"J. J.","non-dropping-particle":"","parse-names":false,"suffix":""},{"dropping-particle":"","family":"Langhans","given":"W.","non-dropping-particle":"","parse-names":false,"suffix":""},{"dropping-particle":"","family":"Meier","given":"J. J.","non-dropping-particle":"","parse-names":false,"suffix":""},{"dropping-particle":"","family":"Nauck","given":"M. A.","non-dropping-particle":"","parse-names":false,"suffix":""},{"dropping-particle":"","family":"Perez-Tilve","given":"D.","non-dropping-particle":"","parse-names":false,"suffix":""},{"dropping-particle":"","family":"Pocai","given":"A.","non-dropping-particle":"","parse-names":false,"suffix":""},{"dropping-particle":"","family":"Reimann","given":"F.","non-dropping-particle":"","parse-names":false,"suffix":""},{"dropping-particle":"","family":"Sandoval","given":"D. A.","non-dropping-particle":"","parse-names":false,"suffix":""},{"dropping-particle":"","family":"Schwartz","given":"T. W.","non-dropping-particle":"","parse-names":false,"suffix":""},{"dropping-particle":"","family":"Seeley","given":"R. J.","non-dropping-particle":"","parse-names":false,"suffix":""},{"dropping-particle":"","family":"Stemmer","given":"K.","non-dropping-particle":"","parse-names":false,"suffix":""},{"dropping-particle":"","family":"Tang-Christensen","given":"M.","non-dropping-particle":"","parse-names":false,"suffix":""},{"dropping-particle":"","family":"Woods","given":"S. C.","non-dropping-particle":"","parse-names":false,"suffix":""},{"dropping-particle":"","family":"DiMarchi","given":"R. D.","non-dropping-particle":"","parse-names":false,"suffix":""},{"dropping-particle":"","family":"Tschöp","given":"M. H.","non-dropping-particle":"","parse-names":false,"suffix":""}],"container-title":"Molecular Metabolism","id":"ITEM-1","issued":{"date-parts":[["2019"]]},"page":"72-130","publisher":"Elsevier GmbH","title":"Glucagon-like peptide 1 (GLP-1)","type":"article-journal","volume":"30"},"uris":["http://www.mendeley.com/documents/?uuid=e8d3dba7-5ada-4cac-a06d-fa33de52beb9"]}],"mendeley":{"formattedCitation":"(Muller &lt;i&gt;et al.&lt;/i&gt;, 2019)","plainTextFormattedCitation":"(Muller et al., 2019)","previouslyFormattedCitation":"(11)"},"properties":{"noteIndex":0},"schema":"https://github.com/citation-style-language/schema/raw/master/csl-citation.json"}</w:instrText>
      </w:r>
      <w:r>
        <w:rPr>
          <w:b/>
          <w:color w:val="000000"/>
          <w:sz w:val="24"/>
          <w:szCs w:val="24"/>
        </w:rPr>
        <w:fldChar w:fldCharType="separate"/>
      </w:r>
      <w:r w:rsidRPr="00DA390C">
        <w:rPr>
          <w:noProof/>
          <w:color w:val="000000"/>
          <w:sz w:val="24"/>
          <w:szCs w:val="24"/>
        </w:rPr>
        <w:t xml:space="preserve">(Muller </w:t>
      </w:r>
      <w:r w:rsidRPr="00DA390C">
        <w:rPr>
          <w:i/>
          <w:noProof/>
          <w:color w:val="000000"/>
          <w:sz w:val="24"/>
          <w:szCs w:val="24"/>
        </w:rPr>
        <w:t>et al.</w:t>
      </w:r>
      <w:r w:rsidRPr="00DA390C">
        <w:rPr>
          <w:noProof/>
          <w:color w:val="000000"/>
          <w:sz w:val="24"/>
          <w:szCs w:val="24"/>
        </w:rPr>
        <w:t>, 2019)</w:t>
      </w:r>
      <w:r>
        <w:rPr>
          <w:b/>
          <w:color w:val="000000"/>
          <w:sz w:val="24"/>
          <w:szCs w:val="24"/>
        </w:rPr>
        <w:fldChar w:fldCharType="end"/>
      </w:r>
      <w:r>
        <w:rPr>
          <w:color w:val="000000"/>
          <w:sz w:val="24"/>
          <w:szCs w:val="24"/>
        </w:rPr>
        <w:t>.</w:t>
      </w:r>
    </w:p>
    <w:p w14:paraId="10620B58" w14:textId="04A663BD" w:rsidR="00006AA5" w:rsidRDefault="00006AA5" w:rsidP="00006AA5">
      <w:pPr>
        <w:pBdr>
          <w:top w:val="nil"/>
          <w:left w:val="nil"/>
          <w:bottom w:val="nil"/>
          <w:right w:val="nil"/>
          <w:between w:val="nil"/>
        </w:pBdr>
        <w:ind w:firstLine="432"/>
        <w:jc w:val="both"/>
        <w:rPr>
          <w:b/>
          <w:color w:val="000000"/>
          <w:sz w:val="24"/>
          <w:szCs w:val="24"/>
        </w:rPr>
      </w:pPr>
      <w:proofErr w:type="spellStart"/>
      <w:r w:rsidRPr="00F5550A">
        <w:rPr>
          <w:color w:val="000000"/>
          <w:sz w:val="24"/>
          <w:szCs w:val="24"/>
        </w:rPr>
        <w:t>Penelitan</w:t>
      </w:r>
      <w:proofErr w:type="spellEnd"/>
      <w:r w:rsidRPr="00F5550A">
        <w:rPr>
          <w:color w:val="000000"/>
          <w:sz w:val="24"/>
          <w:szCs w:val="24"/>
        </w:rPr>
        <w:t xml:space="preserve"> </w:t>
      </w:r>
      <w:proofErr w:type="spellStart"/>
      <w:r w:rsidRPr="00F5550A">
        <w:rPr>
          <w:color w:val="000000"/>
          <w:sz w:val="24"/>
          <w:szCs w:val="24"/>
        </w:rPr>
        <w:t>ini</w:t>
      </w:r>
      <w:proofErr w:type="spellEnd"/>
      <w:r w:rsidRPr="00F5550A">
        <w:rPr>
          <w:color w:val="000000"/>
          <w:sz w:val="24"/>
          <w:szCs w:val="24"/>
        </w:rPr>
        <w:t xml:space="preserve"> </w:t>
      </w:r>
      <w:proofErr w:type="spellStart"/>
      <w:r w:rsidRPr="00F5550A">
        <w:rPr>
          <w:color w:val="000000"/>
          <w:sz w:val="24"/>
          <w:szCs w:val="24"/>
        </w:rPr>
        <w:t>bertujuan</w:t>
      </w:r>
      <w:proofErr w:type="spellEnd"/>
      <w:r w:rsidRPr="00F5550A">
        <w:rPr>
          <w:color w:val="000000"/>
          <w:sz w:val="24"/>
          <w:szCs w:val="24"/>
        </w:rPr>
        <w:t xml:space="preserve"> </w:t>
      </w:r>
      <w:proofErr w:type="spellStart"/>
      <w:r w:rsidRPr="00F5550A">
        <w:rPr>
          <w:color w:val="000000"/>
          <w:sz w:val="24"/>
          <w:szCs w:val="24"/>
        </w:rPr>
        <w:t>untuk</w:t>
      </w:r>
      <w:proofErr w:type="spellEnd"/>
      <w:r w:rsidRPr="00F5550A">
        <w:rPr>
          <w:color w:val="000000"/>
          <w:sz w:val="24"/>
          <w:szCs w:val="24"/>
        </w:rPr>
        <w:t xml:space="preserve"> </w:t>
      </w:r>
      <w:proofErr w:type="spellStart"/>
      <w:r w:rsidRPr="00F5550A">
        <w:rPr>
          <w:color w:val="000000"/>
          <w:sz w:val="24"/>
          <w:szCs w:val="24"/>
        </w:rPr>
        <w:t>mengetahui</w:t>
      </w:r>
      <w:proofErr w:type="spellEnd"/>
      <w:r w:rsidRPr="00F5550A">
        <w:rPr>
          <w:color w:val="000000"/>
          <w:sz w:val="24"/>
          <w:szCs w:val="24"/>
        </w:rPr>
        <w:t xml:space="preserve"> </w:t>
      </w:r>
      <w:proofErr w:type="spellStart"/>
      <w:r w:rsidRPr="00F5550A">
        <w:rPr>
          <w:color w:val="000000"/>
          <w:sz w:val="24"/>
          <w:szCs w:val="24"/>
        </w:rPr>
        <w:t>perbandingan</w:t>
      </w:r>
      <w:proofErr w:type="spellEnd"/>
      <w:r w:rsidRPr="00F5550A">
        <w:rPr>
          <w:color w:val="000000"/>
          <w:sz w:val="24"/>
          <w:szCs w:val="24"/>
        </w:rPr>
        <w:t xml:space="preserve"> </w:t>
      </w:r>
      <w:proofErr w:type="spellStart"/>
      <w:r w:rsidRPr="00F5550A">
        <w:rPr>
          <w:color w:val="000000"/>
          <w:sz w:val="24"/>
          <w:szCs w:val="24"/>
        </w:rPr>
        <w:t>Monoterapi</w:t>
      </w:r>
      <w:proofErr w:type="spellEnd"/>
      <w:r w:rsidRPr="00F5550A">
        <w:rPr>
          <w:color w:val="000000"/>
          <w:sz w:val="24"/>
          <w:szCs w:val="24"/>
        </w:rPr>
        <w:t xml:space="preserve"> dapagliflozin </w:t>
      </w:r>
      <w:proofErr w:type="spellStart"/>
      <w:r w:rsidRPr="00F5550A">
        <w:rPr>
          <w:color w:val="000000"/>
          <w:sz w:val="24"/>
          <w:szCs w:val="24"/>
        </w:rPr>
        <w:t>dengan</w:t>
      </w:r>
      <w:proofErr w:type="spellEnd"/>
      <w:r w:rsidRPr="00F5550A">
        <w:rPr>
          <w:color w:val="000000"/>
          <w:sz w:val="24"/>
          <w:szCs w:val="24"/>
        </w:rPr>
        <w:t xml:space="preserve"> </w:t>
      </w:r>
      <w:proofErr w:type="spellStart"/>
      <w:r w:rsidRPr="00F5550A">
        <w:rPr>
          <w:color w:val="000000"/>
          <w:sz w:val="24"/>
          <w:szCs w:val="24"/>
        </w:rPr>
        <w:t>kombinasi</w:t>
      </w:r>
      <w:proofErr w:type="spellEnd"/>
      <w:r w:rsidRPr="00F5550A">
        <w:rPr>
          <w:color w:val="000000"/>
          <w:sz w:val="24"/>
          <w:szCs w:val="24"/>
        </w:rPr>
        <w:t xml:space="preserve"> </w:t>
      </w:r>
      <w:proofErr w:type="spellStart"/>
      <w:r w:rsidRPr="00F5550A">
        <w:rPr>
          <w:color w:val="000000"/>
          <w:sz w:val="24"/>
          <w:szCs w:val="24"/>
        </w:rPr>
        <w:t>terapi</w:t>
      </w:r>
      <w:proofErr w:type="spellEnd"/>
      <w:r w:rsidRPr="00F5550A">
        <w:rPr>
          <w:color w:val="000000"/>
          <w:sz w:val="24"/>
          <w:szCs w:val="24"/>
        </w:rPr>
        <w:t xml:space="preserve"> Glucose Lowering Agent </w:t>
      </w:r>
      <w:proofErr w:type="spellStart"/>
      <w:r w:rsidRPr="00F5550A">
        <w:rPr>
          <w:color w:val="000000"/>
          <w:sz w:val="24"/>
          <w:szCs w:val="24"/>
        </w:rPr>
        <w:t>lainnya</w:t>
      </w:r>
      <w:proofErr w:type="spellEnd"/>
      <w:r w:rsidRPr="00F5550A">
        <w:rPr>
          <w:color w:val="000000"/>
          <w:sz w:val="24"/>
          <w:szCs w:val="24"/>
        </w:rPr>
        <w:t xml:space="preserve">. Dimana </w:t>
      </w:r>
      <w:proofErr w:type="spellStart"/>
      <w:r w:rsidRPr="00F5550A">
        <w:rPr>
          <w:color w:val="000000"/>
          <w:sz w:val="24"/>
          <w:szCs w:val="24"/>
        </w:rPr>
        <w:t>peneliti</w:t>
      </w:r>
      <w:proofErr w:type="spellEnd"/>
      <w:r w:rsidRPr="00F5550A">
        <w:rPr>
          <w:color w:val="000000"/>
          <w:sz w:val="24"/>
          <w:szCs w:val="24"/>
        </w:rPr>
        <w:t xml:space="preserve"> </w:t>
      </w:r>
      <w:proofErr w:type="spellStart"/>
      <w:r w:rsidRPr="00F5550A">
        <w:rPr>
          <w:color w:val="000000"/>
          <w:sz w:val="24"/>
          <w:szCs w:val="24"/>
        </w:rPr>
        <w:t>akan</w:t>
      </w:r>
      <w:proofErr w:type="spellEnd"/>
      <w:r w:rsidRPr="00F5550A">
        <w:rPr>
          <w:color w:val="000000"/>
          <w:sz w:val="24"/>
          <w:szCs w:val="24"/>
        </w:rPr>
        <w:t xml:space="preserve"> </w:t>
      </w:r>
      <w:proofErr w:type="spellStart"/>
      <w:r w:rsidRPr="00F5550A">
        <w:rPr>
          <w:color w:val="000000"/>
          <w:sz w:val="24"/>
          <w:szCs w:val="24"/>
        </w:rPr>
        <w:t>menggunakan</w:t>
      </w:r>
      <w:proofErr w:type="spellEnd"/>
      <w:r w:rsidRPr="00F5550A">
        <w:rPr>
          <w:color w:val="000000"/>
          <w:sz w:val="24"/>
          <w:szCs w:val="24"/>
        </w:rPr>
        <w:t xml:space="preserve"> </w:t>
      </w:r>
      <w:proofErr w:type="spellStart"/>
      <w:r w:rsidRPr="00F5550A">
        <w:rPr>
          <w:color w:val="000000"/>
          <w:sz w:val="24"/>
          <w:szCs w:val="24"/>
        </w:rPr>
        <w:t>dafaglifozin</w:t>
      </w:r>
      <w:proofErr w:type="spellEnd"/>
      <w:r w:rsidRPr="00F5550A">
        <w:rPr>
          <w:color w:val="000000"/>
          <w:sz w:val="24"/>
          <w:szCs w:val="24"/>
        </w:rPr>
        <w:t xml:space="preserve"> </w:t>
      </w:r>
      <w:proofErr w:type="spellStart"/>
      <w:r w:rsidRPr="00F5550A">
        <w:rPr>
          <w:color w:val="000000"/>
          <w:sz w:val="24"/>
          <w:szCs w:val="24"/>
        </w:rPr>
        <w:t>sebagai</w:t>
      </w:r>
      <w:proofErr w:type="spellEnd"/>
      <w:r w:rsidRPr="00F5550A">
        <w:rPr>
          <w:color w:val="000000"/>
          <w:sz w:val="24"/>
          <w:szCs w:val="24"/>
        </w:rPr>
        <w:t xml:space="preserve"> </w:t>
      </w:r>
      <w:proofErr w:type="spellStart"/>
      <w:r w:rsidRPr="00F5550A">
        <w:rPr>
          <w:color w:val="000000"/>
          <w:sz w:val="24"/>
          <w:szCs w:val="24"/>
        </w:rPr>
        <w:t>monoterapi</w:t>
      </w:r>
      <w:proofErr w:type="spellEnd"/>
      <w:r w:rsidRPr="00F5550A">
        <w:rPr>
          <w:color w:val="000000"/>
          <w:sz w:val="24"/>
          <w:szCs w:val="24"/>
        </w:rPr>
        <w:t xml:space="preserve"> yang </w:t>
      </w:r>
      <w:proofErr w:type="spellStart"/>
      <w:r w:rsidRPr="00F5550A">
        <w:rPr>
          <w:color w:val="000000"/>
          <w:sz w:val="24"/>
          <w:szCs w:val="24"/>
        </w:rPr>
        <w:t>dikombinasikan</w:t>
      </w:r>
      <w:proofErr w:type="spellEnd"/>
      <w:r w:rsidRPr="00F5550A">
        <w:rPr>
          <w:color w:val="000000"/>
          <w:sz w:val="24"/>
          <w:szCs w:val="24"/>
        </w:rPr>
        <w:t xml:space="preserve"> </w:t>
      </w:r>
      <w:proofErr w:type="spellStart"/>
      <w:r w:rsidRPr="00F5550A">
        <w:rPr>
          <w:color w:val="000000"/>
          <w:sz w:val="24"/>
          <w:szCs w:val="24"/>
        </w:rPr>
        <w:t>dengan</w:t>
      </w:r>
      <w:proofErr w:type="spellEnd"/>
      <w:r w:rsidRPr="00F5550A">
        <w:rPr>
          <w:color w:val="000000"/>
          <w:sz w:val="24"/>
          <w:szCs w:val="24"/>
        </w:rPr>
        <w:t xml:space="preserve"> metformin,</w:t>
      </w:r>
      <w:r>
        <w:rPr>
          <w:color w:val="000000"/>
          <w:sz w:val="24"/>
          <w:szCs w:val="24"/>
        </w:rPr>
        <w:t xml:space="preserve"> </w:t>
      </w:r>
      <w:proofErr w:type="spellStart"/>
      <w:r w:rsidRPr="00F5550A">
        <w:rPr>
          <w:color w:val="000000"/>
          <w:sz w:val="24"/>
          <w:szCs w:val="24"/>
        </w:rPr>
        <w:t>glimepirid</w:t>
      </w:r>
      <w:proofErr w:type="spellEnd"/>
      <w:r w:rsidRPr="00F5550A">
        <w:rPr>
          <w:color w:val="000000"/>
          <w:sz w:val="24"/>
          <w:szCs w:val="24"/>
        </w:rPr>
        <w:t xml:space="preserve"> dan </w:t>
      </w:r>
      <w:proofErr w:type="spellStart"/>
      <w:r w:rsidRPr="00F5550A">
        <w:rPr>
          <w:color w:val="000000"/>
          <w:sz w:val="24"/>
          <w:szCs w:val="24"/>
        </w:rPr>
        <w:t>saxagliptin</w:t>
      </w:r>
      <w:proofErr w:type="spellEnd"/>
      <w:r w:rsidRPr="00F5550A">
        <w:rPr>
          <w:color w:val="000000"/>
          <w:sz w:val="24"/>
          <w:szCs w:val="24"/>
        </w:rPr>
        <w:t>.</w:t>
      </w:r>
    </w:p>
    <w:p w14:paraId="1972691E" w14:textId="77777777" w:rsidR="00ED763D" w:rsidRDefault="00ED763D" w:rsidP="00ED763D">
      <w:pPr>
        <w:pStyle w:val="Heading1"/>
        <w:spacing w:before="0" w:after="0"/>
      </w:pPr>
    </w:p>
    <w:p w14:paraId="55376203" w14:textId="77777777" w:rsidR="002F5D38" w:rsidRPr="00117C31" w:rsidRDefault="00ED763D" w:rsidP="00ED763D">
      <w:pPr>
        <w:pStyle w:val="Heading1"/>
        <w:spacing w:before="0" w:after="0"/>
      </w:pPr>
      <w:r>
        <w:t>METODE</w:t>
      </w:r>
      <w:r w:rsidR="006C7AAC">
        <w:t xml:space="preserve"> PENELITIAN (RESEARCH METHODOLOGY)</w:t>
      </w:r>
    </w:p>
    <w:p w14:paraId="48B7FD2F" w14:textId="77777777" w:rsidR="002F5D38" w:rsidRPr="00CA18BF" w:rsidRDefault="002F5D38" w:rsidP="00ED763D">
      <w:pPr>
        <w:pStyle w:val="ListParagraph"/>
        <w:numPr>
          <w:ilvl w:val="0"/>
          <w:numId w:val="15"/>
        </w:numPr>
        <w:ind w:left="0" w:firstLine="432"/>
        <w:jc w:val="both"/>
        <w:rPr>
          <w:rFonts w:eastAsia="Calibri"/>
          <w:b/>
          <w:vanish/>
          <w:sz w:val="24"/>
          <w:szCs w:val="24"/>
        </w:rPr>
      </w:pPr>
    </w:p>
    <w:p w14:paraId="5578C3B9" w14:textId="77777777" w:rsidR="002F5D38" w:rsidRPr="00CA18BF" w:rsidRDefault="002F5D38" w:rsidP="00ED763D">
      <w:pPr>
        <w:pStyle w:val="ListParagraph"/>
        <w:numPr>
          <w:ilvl w:val="0"/>
          <w:numId w:val="15"/>
        </w:numPr>
        <w:ind w:left="0" w:firstLine="432"/>
        <w:jc w:val="both"/>
        <w:rPr>
          <w:rFonts w:eastAsia="Calibri"/>
          <w:b/>
          <w:vanish/>
          <w:sz w:val="24"/>
          <w:szCs w:val="24"/>
        </w:rPr>
      </w:pPr>
    </w:p>
    <w:p w14:paraId="366D58CD" w14:textId="77777777" w:rsidR="00006AA5" w:rsidRDefault="00006AA5" w:rsidP="00006AA5">
      <w:pPr>
        <w:pStyle w:val="ListParagraph1"/>
        <w:spacing w:after="0" w:line="240" w:lineRule="auto"/>
        <w:ind w:left="0"/>
        <w:jc w:val="both"/>
        <w:rPr>
          <w:rFonts w:ascii="Times New Roman" w:hAnsi="Times New Roman"/>
          <w:b/>
          <w:sz w:val="24"/>
          <w:szCs w:val="24"/>
        </w:rPr>
      </w:pPr>
      <w:r>
        <w:rPr>
          <w:rFonts w:ascii="Times New Roman" w:hAnsi="Times New Roman"/>
          <w:b/>
          <w:sz w:val="24"/>
          <w:szCs w:val="24"/>
        </w:rPr>
        <w:t xml:space="preserve">Alat dan </w:t>
      </w:r>
      <w:proofErr w:type="spellStart"/>
      <w:r>
        <w:rPr>
          <w:rFonts w:ascii="Times New Roman" w:hAnsi="Times New Roman"/>
          <w:b/>
          <w:sz w:val="24"/>
          <w:szCs w:val="24"/>
        </w:rPr>
        <w:t>Bahan</w:t>
      </w:r>
      <w:proofErr w:type="spellEnd"/>
      <w:r w:rsidR="002F5D38" w:rsidRPr="00117C31">
        <w:rPr>
          <w:rFonts w:ascii="Times New Roman" w:hAnsi="Times New Roman"/>
          <w:b/>
          <w:sz w:val="24"/>
          <w:szCs w:val="24"/>
        </w:rPr>
        <w:t xml:space="preserve"> </w:t>
      </w:r>
    </w:p>
    <w:p w14:paraId="18D6BE29" w14:textId="77777777" w:rsidR="00006AA5" w:rsidRDefault="00006AA5" w:rsidP="00006AA5">
      <w:pPr>
        <w:pStyle w:val="ListParagraph1"/>
        <w:spacing w:after="0" w:line="240" w:lineRule="auto"/>
        <w:ind w:left="0" w:firstLine="426"/>
        <w:jc w:val="both"/>
        <w:rPr>
          <w:rFonts w:ascii="Times New Roman" w:hAnsi="Times New Roman"/>
          <w:color w:val="000000"/>
          <w:sz w:val="24"/>
          <w:szCs w:val="24"/>
        </w:rPr>
      </w:pPr>
      <w:r w:rsidRPr="00006AA5">
        <w:rPr>
          <w:rFonts w:ascii="Times New Roman" w:hAnsi="Times New Roman"/>
          <w:color w:val="000000"/>
          <w:sz w:val="24"/>
          <w:szCs w:val="24"/>
        </w:rPr>
        <w:t xml:space="preserve">Alat yang </w:t>
      </w:r>
      <w:proofErr w:type="spellStart"/>
      <w:r w:rsidRPr="00006AA5">
        <w:rPr>
          <w:rFonts w:ascii="Times New Roman" w:hAnsi="Times New Roman"/>
          <w:color w:val="000000"/>
          <w:sz w:val="24"/>
          <w:szCs w:val="24"/>
        </w:rPr>
        <w:t>akan</w:t>
      </w:r>
      <w:proofErr w:type="spellEnd"/>
      <w:r w:rsidRPr="00006AA5">
        <w:rPr>
          <w:rFonts w:ascii="Times New Roman" w:hAnsi="Times New Roman"/>
          <w:color w:val="000000"/>
          <w:sz w:val="24"/>
          <w:szCs w:val="24"/>
        </w:rPr>
        <w:t xml:space="preserve"> </w:t>
      </w:r>
      <w:proofErr w:type="spellStart"/>
      <w:r w:rsidRPr="00006AA5">
        <w:rPr>
          <w:rFonts w:ascii="Times New Roman" w:hAnsi="Times New Roman"/>
          <w:color w:val="000000"/>
          <w:sz w:val="24"/>
          <w:szCs w:val="24"/>
        </w:rPr>
        <w:t>digunakan</w:t>
      </w:r>
      <w:proofErr w:type="spellEnd"/>
      <w:r w:rsidRPr="00006AA5">
        <w:rPr>
          <w:rFonts w:ascii="Times New Roman" w:hAnsi="Times New Roman"/>
          <w:color w:val="000000"/>
          <w:sz w:val="24"/>
          <w:szCs w:val="24"/>
        </w:rPr>
        <w:t xml:space="preserve"> </w:t>
      </w:r>
      <w:proofErr w:type="spellStart"/>
      <w:r w:rsidRPr="00006AA5">
        <w:rPr>
          <w:rFonts w:ascii="Times New Roman" w:hAnsi="Times New Roman"/>
          <w:color w:val="000000"/>
          <w:sz w:val="24"/>
          <w:szCs w:val="24"/>
        </w:rPr>
        <w:t>dalam</w:t>
      </w:r>
      <w:proofErr w:type="spellEnd"/>
      <w:r w:rsidRPr="00006AA5">
        <w:rPr>
          <w:rFonts w:ascii="Times New Roman" w:hAnsi="Times New Roman"/>
          <w:color w:val="000000"/>
          <w:sz w:val="24"/>
          <w:szCs w:val="24"/>
        </w:rPr>
        <w:t xml:space="preserve"> </w:t>
      </w:r>
      <w:proofErr w:type="spellStart"/>
      <w:r w:rsidRPr="00006AA5">
        <w:rPr>
          <w:rFonts w:ascii="Times New Roman" w:hAnsi="Times New Roman"/>
          <w:color w:val="000000"/>
          <w:sz w:val="24"/>
          <w:szCs w:val="24"/>
        </w:rPr>
        <w:t>penelitian</w:t>
      </w:r>
      <w:proofErr w:type="spellEnd"/>
      <w:r w:rsidRPr="00006AA5">
        <w:rPr>
          <w:rFonts w:ascii="Times New Roman" w:hAnsi="Times New Roman"/>
          <w:color w:val="000000"/>
          <w:sz w:val="24"/>
          <w:szCs w:val="24"/>
        </w:rPr>
        <w:t xml:space="preserve"> </w:t>
      </w:r>
      <w:proofErr w:type="spellStart"/>
      <w:r w:rsidRPr="00006AA5">
        <w:rPr>
          <w:rFonts w:ascii="Times New Roman" w:hAnsi="Times New Roman"/>
          <w:color w:val="000000"/>
          <w:sz w:val="24"/>
          <w:szCs w:val="24"/>
        </w:rPr>
        <w:t>ini</w:t>
      </w:r>
      <w:proofErr w:type="spellEnd"/>
      <w:r w:rsidRPr="00006AA5">
        <w:rPr>
          <w:rFonts w:ascii="Times New Roman" w:hAnsi="Times New Roman"/>
          <w:color w:val="000000"/>
          <w:sz w:val="24"/>
          <w:szCs w:val="24"/>
        </w:rPr>
        <w:t xml:space="preserve"> </w:t>
      </w:r>
      <w:proofErr w:type="spellStart"/>
      <w:r w:rsidRPr="00006AA5">
        <w:rPr>
          <w:rFonts w:ascii="Times New Roman" w:hAnsi="Times New Roman"/>
          <w:color w:val="000000"/>
          <w:sz w:val="24"/>
          <w:szCs w:val="24"/>
        </w:rPr>
        <w:t>antara</w:t>
      </w:r>
      <w:proofErr w:type="spellEnd"/>
      <w:r w:rsidRPr="00006AA5">
        <w:rPr>
          <w:rFonts w:ascii="Times New Roman" w:hAnsi="Times New Roman"/>
          <w:color w:val="000000"/>
          <w:sz w:val="24"/>
          <w:szCs w:val="24"/>
        </w:rPr>
        <w:t xml:space="preserve"> lain </w:t>
      </w:r>
      <w:proofErr w:type="spellStart"/>
      <w:r w:rsidRPr="00006AA5">
        <w:rPr>
          <w:rFonts w:ascii="Times New Roman" w:hAnsi="Times New Roman"/>
          <w:color w:val="000000"/>
          <w:sz w:val="24"/>
          <w:szCs w:val="24"/>
        </w:rPr>
        <w:t>kandang</w:t>
      </w:r>
      <w:proofErr w:type="spellEnd"/>
      <w:r w:rsidRPr="00006AA5">
        <w:rPr>
          <w:rFonts w:ascii="Times New Roman" w:hAnsi="Times New Roman"/>
          <w:color w:val="000000"/>
          <w:sz w:val="24"/>
          <w:szCs w:val="24"/>
        </w:rPr>
        <w:t xml:space="preserve"> </w:t>
      </w:r>
      <w:proofErr w:type="spellStart"/>
      <w:r w:rsidRPr="00006AA5">
        <w:rPr>
          <w:rFonts w:ascii="Times New Roman" w:hAnsi="Times New Roman"/>
          <w:color w:val="000000"/>
          <w:sz w:val="24"/>
          <w:szCs w:val="24"/>
        </w:rPr>
        <w:t>mencit</w:t>
      </w:r>
      <w:proofErr w:type="spellEnd"/>
      <w:r w:rsidRPr="00006AA5">
        <w:rPr>
          <w:rFonts w:ascii="Times New Roman" w:hAnsi="Times New Roman"/>
          <w:color w:val="000000"/>
          <w:sz w:val="24"/>
          <w:szCs w:val="24"/>
        </w:rPr>
        <w:t xml:space="preserve">, </w:t>
      </w:r>
      <w:proofErr w:type="spellStart"/>
      <w:r w:rsidRPr="00006AA5">
        <w:rPr>
          <w:rFonts w:ascii="Times New Roman" w:hAnsi="Times New Roman"/>
          <w:color w:val="000000"/>
          <w:sz w:val="24"/>
          <w:szCs w:val="24"/>
        </w:rPr>
        <w:t>timbangan</w:t>
      </w:r>
      <w:proofErr w:type="spellEnd"/>
      <w:r w:rsidRPr="00006AA5">
        <w:rPr>
          <w:rFonts w:ascii="Times New Roman" w:hAnsi="Times New Roman"/>
          <w:color w:val="000000"/>
          <w:sz w:val="24"/>
          <w:szCs w:val="24"/>
        </w:rPr>
        <w:t xml:space="preserve"> </w:t>
      </w:r>
      <w:proofErr w:type="spellStart"/>
      <w:r w:rsidRPr="00006AA5">
        <w:rPr>
          <w:rFonts w:ascii="Times New Roman" w:hAnsi="Times New Roman"/>
          <w:color w:val="000000"/>
          <w:sz w:val="24"/>
          <w:szCs w:val="24"/>
        </w:rPr>
        <w:t>analitik</w:t>
      </w:r>
      <w:proofErr w:type="spellEnd"/>
      <w:r w:rsidRPr="00006AA5">
        <w:rPr>
          <w:rFonts w:ascii="Times New Roman" w:hAnsi="Times New Roman"/>
          <w:color w:val="000000"/>
          <w:sz w:val="24"/>
          <w:szCs w:val="24"/>
        </w:rPr>
        <w:t xml:space="preserve">, sonde oral, </w:t>
      </w:r>
      <w:proofErr w:type="spellStart"/>
      <w:r w:rsidRPr="00006AA5">
        <w:rPr>
          <w:rFonts w:ascii="Times New Roman" w:hAnsi="Times New Roman"/>
          <w:color w:val="000000"/>
          <w:sz w:val="24"/>
          <w:szCs w:val="24"/>
        </w:rPr>
        <w:t>spuit</w:t>
      </w:r>
      <w:proofErr w:type="spellEnd"/>
      <w:r w:rsidRPr="00006AA5">
        <w:rPr>
          <w:rFonts w:ascii="Times New Roman" w:hAnsi="Times New Roman"/>
          <w:color w:val="000000"/>
          <w:sz w:val="24"/>
          <w:szCs w:val="24"/>
        </w:rPr>
        <w:t xml:space="preserve">, </w:t>
      </w:r>
      <w:proofErr w:type="spellStart"/>
      <w:r w:rsidRPr="00006AA5">
        <w:rPr>
          <w:rFonts w:ascii="Times New Roman" w:hAnsi="Times New Roman"/>
          <w:color w:val="000000"/>
          <w:sz w:val="24"/>
          <w:szCs w:val="24"/>
        </w:rPr>
        <w:t>pisau</w:t>
      </w:r>
      <w:proofErr w:type="spellEnd"/>
      <w:r w:rsidRPr="00006AA5">
        <w:rPr>
          <w:rFonts w:ascii="Times New Roman" w:hAnsi="Times New Roman"/>
          <w:color w:val="000000"/>
          <w:sz w:val="24"/>
          <w:szCs w:val="24"/>
        </w:rPr>
        <w:t xml:space="preserve"> </w:t>
      </w:r>
      <w:proofErr w:type="spellStart"/>
      <w:r w:rsidRPr="00006AA5">
        <w:rPr>
          <w:rFonts w:ascii="Times New Roman" w:hAnsi="Times New Roman"/>
          <w:color w:val="000000"/>
          <w:sz w:val="24"/>
          <w:szCs w:val="24"/>
        </w:rPr>
        <w:t>bedah</w:t>
      </w:r>
      <w:proofErr w:type="spellEnd"/>
      <w:r w:rsidRPr="00006AA5">
        <w:rPr>
          <w:rFonts w:ascii="Times New Roman" w:hAnsi="Times New Roman"/>
          <w:color w:val="000000"/>
          <w:sz w:val="24"/>
          <w:szCs w:val="24"/>
        </w:rPr>
        <w:t xml:space="preserve">, glucometer </w:t>
      </w:r>
      <w:proofErr w:type="spellStart"/>
      <w:r w:rsidRPr="00006AA5">
        <w:rPr>
          <w:rFonts w:ascii="Times New Roman" w:hAnsi="Times New Roman"/>
          <w:color w:val="000000"/>
          <w:sz w:val="24"/>
          <w:szCs w:val="24"/>
        </w:rPr>
        <w:t>accu</w:t>
      </w:r>
      <w:proofErr w:type="spellEnd"/>
      <w:r w:rsidRPr="00006AA5">
        <w:rPr>
          <w:rFonts w:ascii="Times New Roman" w:hAnsi="Times New Roman"/>
          <w:color w:val="000000"/>
          <w:sz w:val="24"/>
          <w:szCs w:val="24"/>
        </w:rPr>
        <w:t xml:space="preserve">-check, strip glucometer </w:t>
      </w:r>
      <w:proofErr w:type="spellStart"/>
      <w:r w:rsidRPr="00006AA5">
        <w:rPr>
          <w:rFonts w:ascii="Times New Roman" w:hAnsi="Times New Roman"/>
          <w:color w:val="000000"/>
          <w:sz w:val="24"/>
          <w:szCs w:val="24"/>
        </w:rPr>
        <w:t>accu</w:t>
      </w:r>
      <w:proofErr w:type="spellEnd"/>
      <w:r w:rsidRPr="00006AA5">
        <w:rPr>
          <w:rFonts w:ascii="Times New Roman" w:hAnsi="Times New Roman"/>
          <w:color w:val="000000"/>
          <w:sz w:val="24"/>
          <w:szCs w:val="24"/>
        </w:rPr>
        <w:t>-check, latex, masker.</w:t>
      </w:r>
    </w:p>
    <w:p w14:paraId="61AADAC2" w14:textId="07D20984" w:rsidR="00006AA5" w:rsidRPr="00006AA5" w:rsidRDefault="00006AA5" w:rsidP="00006AA5">
      <w:pPr>
        <w:pStyle w:val="ListParagraph1"/>
        <w:spacing w:after="0" w:line="240" w:lineRule="auto"/>
        <w:ind w:left="0" w:firstLine="426"/>
        <w:jc w:val="both"/>
        <w:rPr>
          <w:rFonts w:ascii="Times New Roman" w:hAnsi="Times New Roman"/>
          <w:color w:val="000000"/>
          <w:sz w:val="24"/>
          <w:szCs w:val="24"/>
        </w:rPr>
      </w:pPr>
      <w:proofErr w:type="spellStart"/>
      <w:r w:rsidRPr="00006AA5">
        <w:rPr>
          <w:rFonts w:ascii="Times New Roman" w:hAnsi="Times New Roman"/>
          <w:sz w:val="24"/>
          <w:szCs w:val="24"/>
        </w:rPr>
        <w:t>Bahan-bahan</w:t>
      </w:r>
      <w:proofErr w:type="spellEnd"/>
      <w:r w:rsidRPr="00006AA5">
        <w:rPr>
          <w:rFonts w:ascii="Times New Roman" w:hAnsi="Times New Roman"/>
          <w:sz w:val="24"/>
          <w:szCs w:val="24"/>
        </w:rPr>
        <w:t xml:space="preserve"> yang </w:t>
      </w:r>
      <w:proofErr w:type="spellStart"/>
      <w:r w:rsidRPr="00006AA5">
        <w:rPr>
          <w:rFonts w:ascii="Times New Roman" w:hAnsi="Times New Roman"/>
          <w:sz w:val="24"/>
          <w:szCs w:val="24"/>
        </w:rPr>
        <w:t>digunakan</w:t>
      </w:r>
      <w:proofErr w:type="spellEnd"/>
      <w:r w:rsidRPr="00006AA5">
        <w:rPr>
          <w:rFonts w:ascii="Times New Roman" w:hAnsi="Times New Roman"/>
          <w:sz w:val="24"/>
          <w:szCs w:val="24"/>
        </w:rPr>
        <w:t xml:space="preserve"> </w:t>
      </w:r>
      <w:proofErr w:type="spellStart"/>
      <w:r w:rsidRPr="00006AA5">
        <w:rPr>
          <w:rFonts w:ascii="Times New Roman" w:hAnsi="Times New Roman"/>
          <w:sz w:val="24"/>
          <w:szCs w:val="24"/>
        </w:rPr>
        <w:t>dalam</w:t>
      </w:r>
      <w:proofErr w:type="spellEnd"/>
      <w:r w:rsidRPr="00006AA5">
        <w:rPr>
          <w:rFonts w:ascii="Times New Roman" w:hAnsi="Times New Roman"/>
          <w:sz w:val="24"/>
          <w:szCs w:val="24"/>
        </w:rPr>
        <w:t xml:space="preserve"> </w:t>
      </w:r>
      <w:proofErr w:type="spellStart"/>
      <w:r w:rsidRPr="00006AA5">
        <w:rPr>
          <w:rFonts w:ascii="Times New Roman" w:hAnsi="Times New Roman"/>
          <w:sz w:val="24"/>
          <w:szCs w:val="24"/>
        </w:rPr>
        <w:t>penelitian</w:t>
      </w:r>
      <w:proofErr w:type="spellEnd"/>
      <w:r w:rsidRPr="00006AA5">
        <w:rPr>
          <w:rFonts w:ascii="Times New Roman" w:hAnsi="Times New Roman"/>
          <w:sz w:val="24"/>
          <w:szCs w:val="24"/>
        </w:rPr>
        <w:t xml:space="preserve"> </w:t>
      </w:r>
      <w:proofErr w:type="spellStart"/>
      <w:r w:rsidRPr="00006AA5">
        <w:rPr>
          <w:rFonts w:ascii="Times New Roman" w:hAnsi="Times New Roman"/>
          <w:sz w:val="24"/>
          <w:szCs w:val="24"/>
        </w:rPr>
        <w:t>ini</w:t>
      </w:r>
      <w:proofErr w:type="spellEnd"/>
      <w:r w:rsidRPr="00006AA5">
        <w:rPr>
          <w:rFonts w:ascii="Times New Roman" w:hAnsi="Times New Roman"/>
          <w:sz w:val="24"/>
          <w:szCs w:val="24"/>
        </w:rPr>
        <w:t xml:space="preserve"> </w:t>
      </w:r>
      <w:proofErr w:type="spellStart"/>
      <w:r w:rsidRPr="00006AA5">
        <w:rPr>
          <w:rFonts w:ascii="Times New Roman" w:hAnsi="Times New Roman"/>
          <w:sz w:val="24"/>
          <w:szCs w:val="24"/>
        </w:rPr>
        <w:t>yaitu</w:t>
      </w:r>
      <w:proofErr w:type="spellEnd"/>
      <w:r w:rsidRPr="00006AA5">
        <w:rPr>
          <w:rFonts w:ascii="Times New Roman" w:hAnsi="Times New Roman"/>
          <w:sz w:val="24"/>
          <w:szCs w:val="24"/>
        </w:rPr>
        <w:t xml:space="preserve"> </w:t>
      </w:r>
      <w:proofErr w:type="spellStart"/>
      <w:r w:rsidRPr="00006AA5">
        <w:rPr>
          <w:rFonts w:ascii="Times New Roman" w:hAnsi="Times New Roman"/>
          <w:sz w:val="24"/>
          <w:szCs w:val="24"/>
        </w:rPr>
        <w:t>kapas</w:t>
      </w:r>
      <w:proofErr w:type="spellEnd"/>
      <w:r w:rsidRPr="00006AA5">
        <w:rPr>
          <w:rFonts w:ascii="Times New Roman" w:hAnsi="Times New Roman"/>
          <w:sz w:val="24"/>
          <w:szCs w:val="24"/>
        </w:rPr>
        <w:t xml:space="preserve">, </w:t>
      </w:r>
      <w:proofErr w:type="spellStart"/>
      <w:r w:rsidRPr="00006AA5">
        <w:rPr>
          <w:rFonts w:ascii="Times New Roman" w:hAnsi="Times New Roman"/>
          <w:sz w:val="24"/>
          <w:szCs w:val="24"/>
        </w:rPr>
        <w:t>alkohol</w:t>
      </w:r>
      <w:proofErr w:type="spellEnd"/>
      <w:r w:rsidRPr="00006AA5">
        <w:rPr>
          <w:rFonts w:ascii="Times New Roman" w:hAnsi="Times New Roman"/>
          <w:sz w:val="24"/>
          <w:szCs w:val="24"/>
        </w:rPr>
        <w:t xml:space="preserve">, </w:t>
      </w:r>
      <w:proofErr w:type="spellStart"/>
      <w:r w:rsidRPr="00006AA5">
        <w:rPr>
          <w:rFonts w:ascii="Times New Roman" w:hAnsi="Times New Roman"/>
          <w:sz w:val="24"/>
          <w:szCs w:val="24"/>
        </w:rPr>
        <w:t>aquades</w:t>
      </w:r>
      <w:proofErr w:type="spellEnd"/>
      <w:r w:rsidRPr="00006AA5">
        <w:rPr>
          <w:rFonts w:ascii="Times New Roman" w:hAnsi="Times New Roman"/>
          <w:sz w:val="24"/>
          <w:szCs w:val="24"/>
        </w:rPr>
        <w:t xml:space="preserve">, </w:t>
      </w:r>
      <w:proofErr w:type="spellStart"/>
      <w:r w:rsidRPr="00006AA5">
        <w:rPr>
          <w:rFonts w:ascii="Times New Roman" w:hAnsi="Times New Roman"/>
          <w:sz w:val="24"/>
          <w:szCs w:val="24"/>
        </w:rPr>
        <w:t>makanan</w:t>
      </w:r>
      <w:proofErr w:type="spellEnd"/>
      <w:r w:rsidRPr="00006AA5">
        <w:rPr>
          <w:rFonts w:ascii="Times New Roman" w:hAnsi="Times New Roman"/>
          <w:sz w:val="24"/>
          <w:szCs w:val="24"/>
        </w:rPr>
        <w:t xml:space="preserve"> </w:t>
      </w:r>
      <w:proofErr w:type="spellStart"/>
      <w:r w:rsidRPr="00006AA5">
        <w:rPr>
          <w:rFonts w:ascii="Times New Roman" w:hAnsi="Times New Roman"/>
          <w:sz w:val="24"/>
          <w:szCs w:val="24"/>
        </w:rPr>
        <w:t>mencit</w:t>
      </w:r>
      <w:proofErr w:type="spellEnd"/>
      <w:r w:rsidRPr="00006AA5">
        <w:rPr>
          <w:rFonts w:ascii="Times New Roman" w:hAnsi="Times New Roman"/>
          <w:sz w:val="24"/>
          <w:szCs w:val="24"/>
        </w:rPr>
        <w:t>, dapagliflozin (</w:t>
      </w:r>
      <w:proofErr w:type="spellStart"/>
      <w:r w:rsidRPr="00006AA5">
        <w:rPr>
          <w:rFonts w:ascii="Times New Roman" w:hAnsi="Times New Roman"/>
          <w:sz w:val="24"/>
          <w:szCs w:val="24"/>
        </w:rPr>
        <w:t>Forxiga</w:t>
      </w:r>
      <w:proofErr w:type="spellEnd"/>
      <w:r w:rsidRPr="00006AA5">
        <w:rPr>
          <w:rFonts w:ascii="Times New Roman" w:hAnsi="Times New Roman"/>
          <w:sz w:val="24"/>
          <w:szCs w:val="24"/>
        </w:rPr>
        <w:t xml:space="preserve"> 10 mg), </w:t>
      </w:r>
      <w:proofErr w:type="spellStart"/>
      <w:r w:rsidRPr="00006AA5">
        <w:rPr>
          <w:rFonts w:ascii="Times New Roman" w:hAnsi="Times New Roman"/>
          <w:sz w:val="24"/>
          <w:szCs w:val="24"/>
        </w:rPr>
        <w:t>aloksan</w:t>
      </w:r>
      <w:proofErr w:type="spellEnd"/>
      <w:r w:rsidRPr="00006AA5">
        <w:rPr>
          <w:rFonts w:ascii="Times New Roman" w:hAnsi="Times New Roman"/>
          <w:sz w:val="24"/>
          <w:szCs w:val="24"/>
        </w:rPr>
        <w:t xml:space="preserve"> </w:t>
      </w:r>
      <w:proofErr w:type="spellStart"/>
      <w:r w:rsidRPr="00006AA5">
        <w:rPr>
          <w:rFonts w:ascii="Times New Roman" w:hAnsi="Times New Roman"/>
          <w:sz w:val="24"/>
          <w:szCs w:val="24"/>
        </w:rPr>
        <w:t>monohidrat</w:t>
      </w:r>
      <w:proofErr w:type="spellEnd"/>
      <w:r w:rsidRPr="00006AA5">
        <w:rPr>
          <w:rFonts w:ascii="Times New Roman" w:hAnsi="Times New Roman"/>
          <w:sz w:val="24"/>
          <w:szCs w:val="24"/>
        </w:rPr>
        <w:t xml:space="preserve"> </w:t>
      </w:r>
      <w:r w:rsidRPr="00006AA5">
        <w:rPr>
          <w:rFonts w:ascii="Times New Roman" w:hAnsi="Times New Roman"/>
          <w:i/>
          <w:sz w:val="24"/>
          <w:szCs w:val="24"/>
        </w:rPr>
        <w:t>Sigma Aldrich</w:t>
      </w:r>
      <w:r w:rsidRPr="00006AA5">
        <w:rPr>
          <w:rFonts w:ascii="Times New Roman" w:hAnsi="Times New Roman"/>
          <w:sz w:val="24"/>
          <w:szCs w:val="24"/>
        </w:rPr>
        <w:t xml:space="preserve">, </w:t>
      </w:r>
      <w:proofErr w:type="spellStart"/>
      <w:r w:rsidRPr="00006AA5">
        <w:rPr>
          <w:rFonts w:ascii="Times New Roman" w:hAnsi="Times New Roman"/>
          <w:sz w:val="24"/>
          <w:szCs w:val="24"/>
        </w:rPr>
        <w:t>Jerman</w:t>
      </w:r>
      <w:proofErr w:type="spellEnd"/>
      <w:r w:rsidRPr="00006AA5">
        <w:rPr>
          <w:rFonts w:ascii="Times New Roman" w:hAnsi="Times New Roman"/>
          <w:sz w:val="24"/>
          <w:szCs w:val="24"/>
        </w:rPr>
        <w:t xml:space="preserve">, Glimepiride 2 mg, </w:t>
      </w:r>
      <w:proofErr w:type="gramStart"/>
      <w:r w:rsidRPr="00006AA5">
        <w:rPr>
          <w:rFonts w:ascii="Times New Roman" w:hAnsi="Times New Roman"/>
          <w:sz w:val="24"/>
          <w:szCs w:val="24"/>
        </w:rPr>
        <w:t>Metformin,  CMC</w:t>
      </w:r>
      <w:proofErr w:type="gramEnd"/>
      <w:r w:rsidRPr="00006AA5">
        <w:rPr>
          <w:rFonts w:ascii="Times New Roman" w:hAnsi="Times New Roman"/>
          <w:sz w:val="24"/>
          <w:szCs w:val="24"/>
        </w:rPr>
        <w:t xml:space="preserve"> Na 1 % dan </w:t>
      </w:r>
      <w:proofErr w:type="spellStart"/>
      <w:r w:rsidRPr="00006AA5">
        <w:rPr>
          <w:rFonts w:ascii="Times New Roman" w:hAnsi="Times New Roman"/>
          <w:sz w:val="24"/>
          <w:szCs w:val="24"/>
        </w:rPr>
        <w:t>Saxagliptin</w:t>
      </w:r>
      <w:proofErr w:type="spellEnd"/>
      <w:r w:rsidRPr="00006AA5">
        <w:rPr>
          <w:rFonts w:ascii="Times New Roman" w:hAnsi="Times New Roman"/>
        </w:rPr>
        <w:t xml:space="preserve"> 5 mg.</w:t>
      </w:r>
    </w:p>
    <w:p w14:paraId="51BB7598" w14:textId="54C01FF3" w:rsidR="002F5D38" w:rsidRDefault="00006AA5" w:rsidP="00ED763D">
      <w:pPr>
        <w:pStyle w:val="ListParagraph1"/>
        <w:spacing w:after="0" w:line="240" w:lineRule="auto"/>
        <w:ind w:left="0"/>
        <w:jc w:val="both"/>
        <w:rPr>
          <w:rFonts w:ascii="Times New Roman" w:hAnsi="Times New Roman"/>
          <w:b/>
          <w:sz w:val="24"/>
          <w:szCs w:val="24"/>
        </w:rPr>
      </w:pPr>
      <w:r>
        <w:rPr>
          <w:rFonts w:ascii="Times New Roman" w:hAnsi="Times New Roman"/>
          <w:b/>
          <w:sz w:val="24"/>
          <w:szCs w:val="24"/>
        </w:rPr>
        <w:t xml:space="preserve">Cara </w:t>
      </w:r>
      <w:proofErr w:type="spellStart"/>
      <w:r>
        <w:rPr>
          <w:rFonts w:ascii="Times New Roman" w:hAnsi="Times New Roman"/>
          <w:b/>
          <w:sz w:val="24"/>
          <w:szCs w:val="24"/>
        </w:rPr>
        <w:t>Kerja</w:t>
      </w:r>
      <w:proofErr w:type="spellEnd"/>
    </w:p>
    <w:p w14:paraId="69969AE5" w14:textId="177ABB65" w:rsidR="00006AA5" w:rsidRDefault="00006AA5" w:rsidP="00006AA5">
      <w:pPr>
        <w:pStyle w:val="ListParagraph1"/>
        <w:numPr>
          <w:ilvl w:val="0"/>
          <w:numId w:val="25"/>
        </w:numPr>
        <w:spacing w:after="0" w:line="240" w:lineRule="auto"/>
        <w:jc w:val="both"/>
        <w:rPr>
          <w:rFonts w:ascii="Times New Roman" w:hAnsi="Times New Roman"/>
          <w:b/>
          <w:sz w:val="24"/>
          <w:szCs w:val="24"/>
        </w:rPr>
      </w:pPr>
      <w:proofErr w:type="spellStart"/>
      <w:r>
        <w:rPr>
          <w:rFonts w:ascii="Times New Roman" w:hAnsi="Times New Roman"/>
          <w:b/>
          <w:sz w:val="24"/>
          <w:szCs w:val="24"/>
        </w:rPr>
        <w:t>Pembuatan</w:t>
      </w:r>
      <w:proofErr w:type="spellEnd"/>
      <w:r>
        <w:rPr>
          <w:rFonts w:ascii="Times New Roman" w:hAnsi="Times New Roman"/>
          <w:b/>
          <w:sz w:val="24"/>
          <w:szCs w:val="24"/>
        </w:rPr>
        <w:t xml:space="preserve"> </w:t>
      </w:r>
      <w:proofErr w:type="spellStart"/>
      <w:r>
        <w:rPr>
          <w:rFonts w:ascii="Times New Roman" w:hAnsi="Times New Roman"/>
          <w:b/>
          <w:sz w:val="24"/>
          <w:szCs w:val="24"/>
        </w:rPr>
        <w:t>Suspensi</w:t>
      </w:r>
      <w:proofErr w:type="spellEnd"/>
      <w:r>
        <w:rPr>
          <w:rFonts w:ascii="Times New Roman" w:hAnsi="Times New Roman"/>
          <w:b/>
          <w:sz w:val="24"/>
          <w:szCs w:val="24"/>
        </w:rPr>
        <w:t xml:space="preserve"> Uji</w:t>
      </w:r>
    </w:p>
    <w:p w14:paraId="5A73CC36" w14:textId="48DEE4F1" w:rsidR="00006AA5" w:rsidRPr="00006AA5" w:rsidRDefault="00006AA5" w:rsidP="00006AA5">
      <w:pPr>
        <w:pStyle w:val="ListParagraph1"/>
        <w:numPr>
          <w:ilvl w:val="0"/>
          <w:numId w:val="26"/>
        </w:numPr>
        <w:spacing w:after="0" w:line="240" w:lineRule="auto"/>
        <w:jc w:val="both"/>
        <w:rPr>
          <w:rFonts w:ascii="Times New Roman" w:hAnsi="Times New Roman"/>
          <w:b/>
          <w:sz w:val="24"/>
          <w:szCs w:val="24"/>
        </w:rPr>
      </w:pPr>
      <w:proofErr w:type="spellStart"/>
      <w:r w:rsidRPr="00006AA5">
        <w:rPr>
          <w:rFonts w:ascii="Times New Roman" w:hAnsi="Times New Roman"/>
          <w:b/>
          <w:sz w:val="24"/>
          <w:szCs w:val="24"/>
        </w:rPr>
        <w:t>Suspensi</w:t>
      </w:r>
      <w:proofErr w:type="spellEnd"/>
      <w:r w:rsidRPr="00006AA5">
        <w:rPr>
          <w:rFonts w:ascii="Times New Roman" w:hAnsi="Times New Roman"/>
          <w:b/>
          <w:sz w:val="24"/>
          <w:szCs w:val="24"/>
        </w:rPr>
        <w:t xml:space="preserve"> </w:t>
      </w:r>
      <w:proofErr w:type="spellStart"/>
      <w:r w:rsidRPr="00006AA5">
        <w:rPr>
          <w:rFonts w:ascii="Times New Roman" w:hAnsi="Times New Roman"/>
          <w:b/>
          <w:sz w:val="24"/>
          <w:szCs w:val="24"/>
        </w:rPr>
        <w:t>Aloksan</w:t>
      </w:r>
      <w:proofErr w:type="spellEnd"/>
    </w:p>
    <w:p w14:paraId="559EB9E6" w14:textId="694ABCD3" w:rsidR="00006AA5" w:rsidRDefault="00006AA5" w:rsidP="00006AA5">
      <w:pPr>
        <w:pStyle w:val="ListParagraph"/>
        <w:ind w:left="1080" w:firstLine="360"/>
        <w:jc w:val="both"/>
        <w:rPr>
          <w:noProof/>
          <w:sz w:val="24"/>
          <w:szCs w:val="24"/>
        </w:rPr>
      </w:pPr>
      <w:r w:rsidRPr="00006AA5">
        <w:rPr>
          <w:noProof/>
          <w:sz w:val="24"/>
          <w:szCs w:val="24"/>
        </w:rPr>
        <w:t xml:space="preserve">Larutan stok aloksan dibuat dengan kadar 0.3 % b/v.  Aloksan monohidrat sebanyak 90 mg kemudian dilarutkan dengan akuades hingga volume 30 mL </w:t>
      </w:r>
      <w:r w:rsidRPr="00006AA5">
        <w:rPr>
          <w:b/>
          <w:noProof/>
          <w:sz w:val="24"/>
          <w:szCs w:val="24"/>
        </w:rPr>
        <w:fldChar w:fldCharType="begin" w:fldLock="1"/>
      </w:r>
      <w:r w:rsidRPr="00006AA5">
        <w:rPr>
          <w:noProof/>
          <w:sz w:val="24"/>
          <w:szCs w:val="24"/>
        </w:rPr>
        <w:instrText>ADDIN CSL_CITATION {"citationItems":[{"id":"ITEM-1","itemData":{"DOI":"10.12928/pharmaciana.v4i1.400","ISSN":"2088-4559","abstract":"Umbi ketela rambat banyak mengandung beta karoten, polifenol dan flavonoid. Aloksan terbukti merusak sel pankreas melalui mekanisme stress oksidatif. Senyawa betakaroten, polifenol dan flavonoid umbi ketela rambat diduga bersifat antioksidatif dan sitoprotektif sehingga menghambat kerusakan sel akibat paparan aloksan. Penelitian ini bertujuan untuk mengetahui pengaruh pemberian (Ipomoea batatas P) (EEUKR) terhadap kadar glukosa darah dan gambaran histopatologi pankreas pada mencit Swiss diinduksi aloksan. Digunakan 15 hewan uji mencit Swiss dengan rata-rata berat badan 20-30 gram. Hewan uji dibagi menjadi 5 kelompok, dimana masing-masing kelompok terdiri dari 3 ekor mencit. Kelompok I (kontrol negatif), diberi akuades. Kelompok II, III, IV dan V adalah kelompok perlakuan yang diberi EEUKR dengan dosis 2,5, 7,5, 22,5 dan 67,5 mg/KgBB/hari peroral selama 10 hari, 7 hari sebelum diinduksi dan 3 hari setelah diinduksi aloksan. Induksi aloksan dilakukan pada hari ke-7 secara intraperitoneal dengan dosis 120 mg/Kg BB. Dilakukan pemeriksaan kadar glukosa darah pada hari ke-4 dan hari ke-10 perlakuan. Pada hari ke-10 hewan uji dikorbankan. Pankreas diisolasi dan dilakukan pemeriksaan histopatologis. Dilakukan analisis varian untuk mengetahui kemaknaan perbedaan rata-rata kadar glukosa darah sewaktu antar kelompok dengan uji anova dan dilanjutkan dengan uji LSD pada taraf kepercayaan 95%. Data histopatologi pankreas dianalisis secara kualitatif. Hasil penelitian menunjukkan bahwa EEUKR dosis 22,5 dan 67,5 mg/KgBB/hari yang mempunyai efek sebagai agen hipoglikemia pada mencit Swiss. Kadar glukosa darah mencit Swiss sebelum diinduksi aloksan pada kelompok perlakuan dengan dosis 67,5 mg/kgBB EEUKR lebih rendah dari pada kadar glukosa darah kelompok aqua dan bermakna secara statistik (p&lt;0,05). Kadar glukosa darah mencit Swiss yang telah diinduksi aloksan pada kelompok perlakuan dosis 22,5 dan 67,5 mg/kgBB EEUKR lebih rendah dari pada kadar glukosa darah kelompok normal dan bermakna secara statistik (p&lt;0.05). Secara histopatologis persentase gambaran nekrosis pankreas mencit Swiss yang diinduksi aloksan pada kelompok perlakuan dosis 22,5 dan 67,5 mg/kgBB lebih rendah dari pada persentase nekrosis kelompok akua. Berdasarkan hasil penelitian tersebut maka dapat disimpulkan bahwa EEUKR dosis 22,5 dan 67,5 mg/KgBB terbukti bersifat hipoglikemik padamencit Swiss baik sebelum maupun setelah diinduksi aloksan. EEUKR juga terbukti menurunkan kejadian nekrosis pada pankreas m…","author":[{"dropping-particle":"","family":"Akrom","given":"","non-dropping-particle":"","parse-names":false,"suffix":""},{"dropping-particle":"","family":"Harjanti","given":"P.D.","non-dropping-particle":"","parse-names":false,"suffix":""},{"dropping-particle":"","family":"Armansyah","given":"T","non-dropping-particle":"","parse-names":false,"suffix":""}],"container-title":"Pharmaciana","id":"ITEM-1","issue":"1","issued":{"date-parts":[["2014"]]},"page":"65","title":"Efek Hipoglikemik Ektrak Etanol Umbi Ketela Rambat (Ipomoea batatas P) ada Mencit Swiss Yang Diinduksi Aloksan","type":"article-journal","volume":"4"},"uris":["http://www.mendeley.com/documents/?uuid=b04364fe-1183-478b-bac2-f01c158f4ddf"]}],"mendeley":{"formattedCitation":"(Akrom &lt;i&gt;et al.&lt;/i&gt;, 2014)","plainTextFormattedCitation":"(Akrom et al., 2014)","previouslyFormattedCitation":"(12)"},"properties":{"noteIndex":0},"schema":"https://github.com/citation-style-language/schema/raw/master/csl-citation.json"}</w:instrText>
      </w:r>
      <w:r w:rsidRPr="00006AA5">
        <w:rPr>
          <w:b/>
          <w:noProof/>
          <w:sz w:val="24"/>
          <w:szCs w:val="24"/>
        </w:rPr>
        <w:fldChar w:fldCharType="separate"/>
      </w:r>
      <w:r w:rsidRPr="00006AA5">
        <w:rPr>
          <w:noProof/>
          <w:sz w:val="24"/>
          <w:szCs w:val="24"/>
        </w:rPr>
        <w:t xml:space="preserve">(Akrom </w:t>
      </w:r>
      <w:r w:rsidRPr="00006AA5">
        <w:rPr>
          <w:i/>
          <w:noProof/>
          <w:sz w:val="24"/>
          <w:szCs w:val="24"/>
        </w:rPr>
        <w:t>et al.</w:t>
      </w:r>
      <w:r w:rsidRPr="00006AA5">
        <w:rPr>
          <w:noProof/>
          <w:sz w:val="24"/>
          <w:szCs w:val="24"/>
        </w:rPr>
        <w:t>, 2014)</w:t>
      </w:r>
      <w:r w:rsidRPr="00006AA5">
        <w:rPr>
          <w:b/>
          <w:noProof/>
          <w:sz w:val="24"/>
          <w:szCs w:val="24"/>
        </w:rPr>
        <w:fldChar w:fldCharType="end"/>
      </w:r>
      <w:r w:rsidRPr="00006AA5">
        <w:rPr>
          <w:noProof/>
          <w:sz w:val="24"/>
          <w:szCs w:val="24"/>
        </w:rPr>
        <w:t>.</w:t>
      </w:r>
    </w:p>
    <w:p w14:paraId="733ACDB4" w14:textId="4CA77B90" w:rsidR="00006AA5" w:rsidRPr="00006AA5" w:rsidRDefault="00006AA5" w:rsidP="00006AA5">
      <w:pPr>
        <w:pStyle w:val="ListParagraph"/>
        <w:numPr>
          <w:ilvl w:val="0"/>
          <w:numId w:val="26"/>
        </w:numPr>
        <w:jc w:val="both"/>
        <w:rPr>
          <w:b/>
          <w:bCs/>
          <w:noProof/>
          <w:color w:val="000000"/>
          <w:sz w:val="24"/>
          <w:szCs w:val="24"/>
        </w:rPr>
      </w:pPr>
      <w:r w:rsidRPr="00006AA5">
        <w:rPr>
          <w:b/>
          <w:bCs/>
          <w:noProof/>
          <w:sz w:val="24"/>
          <w:szCs w:val="24"/>
        </w:rPr>
        <w:t>Suspensi CMC Na 1%</w:t>
      </w:r>
    </w:p>
    <w:p w14:paraId="3D35C969" w14:textId="77777777" w:rsidR="00006AA5" w:rsidRPr="00006AA5" w:rsidRDefault="00006AA5" w:rsidP="00006AA5">
      <w:pPr>
        <w:pStyle w:val="ListParagraph"/>
        <w:ind w:left="1080" w:firstLine="360"/>
        <w:jc w:val="both"/>
        <w:rPr>
          <w:b/>
          <w:noProof/>
          <w:sz w:val="24"/>
          <w:szCs w:val="24"/>
        </w:rPr>
      </w:pPr>
      <w:r w:rsidRPr="00006AA5">
        <w:rPr>
          <w:noProof/>
          <w:sz w:val="24"/>
          <w:szCs w:val="24"/>
        </w:rPr>
        <w:t xml:space="preserve">Untuk pembuatan larutan suspensi CMC Na 1%, ditimbang Na-CMC sebanyak 1 gram dimasukkan sedikit demi sedikit ke dalam 50 mL aquades panas (suhu 70C) sambil diaduk lalu ditambahkan dengan akuades hingga 100 mL </w:t>
      </w:r>
      <w:r w:rsidRPr="00006AA5">
        <w:rPr>
          <w:b/>
          <w:noProof/>
          <w:sz w:val="24"/>
          <w:szCs w:val="24"/>
        </w:rPr>
        <w:fldChar w:fldCharType="begin" w:fldLock="1"/>
      </w:r>
      <w:r w:rsidRPr="00006AA5">
        <w:rPr>
          <w:noProof/>
          <w:sz w:val="24"/>
          <w:szCs w:val="24"/>
        </w:rPr>
        <w:instrText>ADDIN CSL_CITATION {"citationItems":[{"id":"ITEM-1","itemData":{"author":[{"dropping-particle":"","family":"Djuwarno","given":"Endah Nurrohwinta","non-dropping-particle":"","parse-names":false,"suffix":""},{"dropping-particle":"","family":"Abdulkadir","given":"Widysusanti","non-dropping-particle":"","parse-names":false,"suffix":""}],"id":"ITEM-1","issued":{"date-parts":[["2019"]]},"page":"8-13","title":"Penurunan Kadar Glukosa Mencit","type":"article-journal","volume":"1"},"uris":["http://www.mendeley.com/documents/?uuid=f1aa8a41-c9aa-481c-a998-292b3c37a939"]}],"mendeley":{"formattedCitation":"(Djuwarno and Abdulkadir, 2019)","plainTextFormattedCitation":"(Djuwarno and Abdulkadir, 2019)","previouslyFormattedCitation":"(13)"},"properties":{"noteIndex":0},"schema":"https://github.com/citation-style-language/schema/raw/master/csl-citation.json"}</w:instrText>
      </w:r>
      <w:r w:rsidRPr="00006AA5">
        <w:rPr>
          <w:b/>
          <w:noProof/>
          <w:sz w:val="24"/>
          <w:szCs w:val="24"/>
        </w:rPr>
        <w:fldChar w:fldCharType="separate"/>
      </w:r>
      <w:r w:rsidRPr="00006AA5">
        <w:rPr>
          <w:noProof/>
          <w:sz w:val="24"/>
          <w:szCs w:val="24"/>
        </w:rPr>
        <w:t>(Djuwarno and Abdulkadir, 2019)</w:t>
      </w:r>
      <w:r w:rsidRPr="00006AA5">
        <w:rPr>
          <w:b/>
          <w:noProof/>
          <w:sz w:val="24"/>
          <w:szCs w:val="24"/>
        </w:rPr>
        <w:fldChar w:fldCharType="end"/>
      </w:r>
      <w:r w:rsidRPr="00006AA5">
        <w:rPr>
          <w:noProof/>
          <w:sz w:val="24"/>
          <w:szCs w:val="24"/>
        </w:rPr>
        <w:t>.</w:t>
      </w:r>
    </w:p>
    <w:p w14:paraId="503C2C49" w14:textId="57895601" w:rsidR="00006AA5" w:rsidRPr="00006AA5" w:rsidRDefault="00006AA5" w:rsidP="00006AA5">
      <w:pPr>
        <w:pStyle w:val="ListParagraph"/>
        <w:numPr>
          <w:ilvl w:val="0"/>
          <w:numId w:val="26"/>
        </w:numPr>
        <w:jc w:val="both"/>
        <w:rPr>
          <w:b/>
          <w:bCs/>
          <w:noProof/>
          <w:color w:val="000000"/>
          <w:sz w:val="24"/>
          <w:szCs w:val="24"/>
        </w:rPr>
      </w:pPr>
      <w:r w:rsidRPr="00006AA5">
        <w:rPr>
          <w:b/>
          <w:bCs/>
          <w:noProof/>
          <w:color w:val="000000"/>
          <w:sz w:val="24"/>
          <w:szCs w:val="24"/>
        </w:rPr>
        <w:t>Suspensi Metformin 500 mg (0.19%)</w:t>
      </w:r>
    </w:p>
    <w:p w14:paraId="2A01DC2D" w14:textId="5555A709" w:rsidR="00006AA5" w:rsidRPr="00006AA5" w:rsidRDefault="00006AA5" w:rsidP="00006AA5">
      <w:pPr>
        <w:pStyle w:val="ListParagraph"/>
        <w:ind w:left="1080" w:firstLine="360"/>
        <w:jc w:val="both"/>
        <w:rPr>
          <w:b/>
          <w:sz w:val="24"/>
        </w:rPr>
      </w:pPr>
      <w:r w:rsidRPr="00006AA5">
        <w:rPr>
          <w:sz w:val="24"/>
        </w:rPr>
        <w:t xml:space="preserve">Metformin </w:t>
      </w:r>
      <w:proofErr w:type="spellStart"/>
      <w:r w:rsidRPr="00006AA5">
        <w:rPr>
          <w:sz w:val="24"/>
        </w:rPr>
        <w:t>dalam</w:t>
      </w:r>
      <w:proofErr w:type="spellEnd"/>
      <w:r w:rsidRPr="00006AA5">
        <w:rPr>
          <w:sz w:val="24"/>
        </w:rPr>
        <w:t xml:space="preserve"> </w:t>
      </w:r>
      <w:proofErr w:type="spellStart"/>
      <w:r w:rsidRPr="00006AA5">
        <w:rPr>
          <w:sz w:val="24"/>
        </w:rPr>
        <w:t>bentuk</w:t>
      </w:r>
      <w:proofErr w:type="spellEnd"/>
      <w:r w:rsidRPr="00006AA5">
        <w:rPr>
          <w:sz w:val="24"/>
        </w:rPr>
        <w:t xml:space="preserve"> </w:t>
      </w:r>
      <w:proofErr w:type="spellStart"/>
      <w:r w:rsidRPr="00006AA5">
        <w:rPr>
          <w:sz w:val="24"/>
        </w:rPr>
        <w:t>serbuk</w:t>
      </w:r>
      <w:proofErr w:type="spellEnd"/>
      <w:r w:rsidRPr="00006AA5">
        <w:rPr>
          <w:sz w:val="24"/>
        </w:rPr>
        <w:t xml:space="preserve"> </w:t>
      </w:r>
      <w:proofErr w:type="spellStart"/>
      <w:r w:rsidRPr="00006AA5">
        <w:rPr>
          <w:sz w:val="24"/>
        </w:rPr>
        <w:t>ditimbang</w:t>
      </w:r>
      <w:proofErr w:type="spellEnd"/>
      <w:r w:rsidRPr="00006AA5">
        <w:rPr>
          <w:sz w:val="24"/>
        </w:rPr>
        <w:t xml:space="preserve"> </w:t>
      </w:r>
      <w:proofErr w:type="spellStart"/>
      <w:r w:rsidRPr="00006AA5">
        <w:rPr>
          <w:sz w:val="24"/>
        </w:rPr>
        <w:t>sebanyak</w:t>
      </w:r>
      <w:proofErr w:type="spellEnd"/>
      <w:r w:rsidRPr="00006AA5">
        <w:rPr>
          <w:sz w:val="24"/>
        </w:rPr>
        <w:t xml:space="preserve"> 195 </w:t>
      </w:r>
      <w:proofErr w:type="gramStart"/>
      <w:r w:rsidRPr="00006AA5">
        <w:rPr>
          <w:sz w:val="24"/>
        </w:rPr>
        <w:t>mg ,</w:t>
      </w:r>
      <w:proofErr w:type="spellStart"/>
      <w:r w:rsidRPr="00006AA5">
        <w:rPr>
          <w:sz w:val="24"/>
        </w:rPr>
        <w:t>dosis</w:t>
      </w:r>
      <w:proofErr w:type="spellEnd"/>
      <w:proofErr w:type="gramEnd"/>
      <w:r w:rsidRPr="00006AA5">
        <w:rPr>
          <w:sz w:val="24"/>
        </w:rPr>
        <w:t xml:space="preserve"> yang </w:t>
      </w:r>
      <w:proofErr w:type="spellStart"/>
      <w:r w:rsidRPr="00006AA5">
        <w:rPr>
          <w:sz w:val="24"/>
        </w:rPr>
        <w:t>digunakan</w:t>
      </w:r>
      <w:proofErr w:type="spellEnd"/>
      <w:r w:rsidRPr="00006AA5">
        <w:rPr>
          <w:sz w:val="24"/>
        </w:rPr>
        <w:t xml:space="preserve"> </w:t>
      </w:r>
      <w:proofErr w:type="spellStart"/>
      <w:r w:rsidRPr="00006AA5">
        <w:rPr>
          <w:sz w:val="24"/>
        </w:rPr>
        <w:t>diperoleh</w:t>
      </w:r>
      <w:proofErr w:type="spellEnd"/>
      <w:r w:rsidRPr="00006AA5">
        <w:rPr>
          <w:sz w:val="24"/>
        </w:rPr>
        <w:t xml:space="preserve"> </w:t>
      </w:r>
      <w:proofErr w:type="spellStart"/>
      <w:r w:rsidRPr="00006AA5">
        <w:rPr>
          <w:sz w:val="24"/>
        </w:rPr>
        <w:t>dari</w:t>
      </w:r>
      <w:proofErr w:type="spellEnd"/>
      <w:r w:rsidRPr="00006AA5">
        <w:rPr>
          <w:sz w:val="24"/>
        </w:rPr>
        <w:t xml:space="preserve"> </w:t>
      </w:r>
      <w:proofErr w:type="spellStart"/>
      <w:r w:rsidRPr="00006AA5">
        <w:rPr>
          <w:sz w:val="24"/>
        </w:rPr>
        <w:t>hasil</w:t>
      </w:r>
      <w:proofErr w:type="spellEnd"/>
      <w:r w:rsidRPr="00006AA5">
        <w:rPr>
          <w:sz w:val="24"/>
        </w:rPr>
        <w:t xml:space="preserve"> </w:t>
      </w:r>
      <w:proofErr w:type="spellStart"/>
      <w:r w:rsidRPr="00006AA5">
        <w:rPr>
          <w:sz w:val="24"/>
        </w:rPr>
        <w:t>faktor</w:t>
      </w:r>
      <w:proofErr w:type="spellEnd"/>
      <w:r w:rsidRPr="00006AA5">
        <w:rPr>
          <w:sz w:val="24"/>
        </w:rPr>
        <w:t xml:space="preserve"> </w:t>
      </w:r>
      <w:proofErr w:type="spellStart"/>
      <w:r w:rsidRPr="00006AA5">
        <w:rPr>
          <w:sz w:val="24"/>
        </w:rPr>
        <w:t>konversi</w:t>
      </w:r>
      <w:proofErr w:type="spellEnd"/>
      <w:r w:rsidRPr="00006AA5">
        <w:rPr>
          <w:sz w:val="24"/>
        </w:rPr>
        <w:t xml:space="preserve"> </w:t>
      </w:r>
      <w:proofErr w:type="spellStart"/>
      <w:r w:rsidRPr="00006AA5">
        <w:rPr>
          <w:sz w:val="24"/>
        </w:rPr>
        <w:t>dari</w:t>
      </w:r>
      <w:proofErr w:type="spellEnd"/>
      <w:r w:rsidRPr="00006AA5">
        <w:rPr>
          <w:sz w:val="24"/>
        </w:rPr>
        <w:t xml:space="preserve"> </w:t>
      </w:r>
      <w:proofErr w:type="spellStart"/>
      <w:r w:rsidRPr="00006AA5">
        <w:rPr>
          <w:sz w:val="24"/>
        </w:rPr>
        <w:t>manusia</w:t>
      </w:r>
      <w:proofErr w:type="spellEnd"/>
      <w:r w:rsidRPr="00006AA5">
        <w:rPr>
          <w:sz w:val="24"/>
        </w:rPr>
        <w:t xml:space="preserve"> </w:t>
      </w:r>
      <w:proofErr w:type="spellStart"/>
      <w:r w:rsidRPr="00006AA5">
        <w:rPr>
          <w:sz w:val="24"/>
        </w:rPr>
        <w:t>ke</w:t>
      </w:r>
      <w:proofErr w:type="spellEnd"/>
      <w:r w:rsidRPr="00006AA5">
        <w:rPr>
          <w:sz w:val="24"/>
        </w:rPr>
        <w:t xml:space="preserve"> </w:t>
      </w:r>
      <w:proofErr w:type="spellStart"/>
      <w:r w:rsidRPr="00006AA5">
        <w:rPr>
          <w:sz w:val="24"/>
        </w:rPr>
        <w:t>mencit</w:t>
      </w:r>
      <w:proofErr w:type="spellEnd"/>
      <w:r w:rsidRPr="00006AA5">
        <w:rPr>
          <w:sz w:val="24"/>
        </w:rPr>
        <w:t xml:space="preserve">, </w:t>
      </w:r>
      <w:proofErr w:type="spellStart"/>
      <w:r w:rsidRPr="00006AA5">
        <w:rPr>
          <w:sz w:val="24"/>
        </w:rPr>
        <w:t>kemudian</w:t>
      </w:r>
      <w:proofErr w:type="spellEnd"/>
      <w:r w:rsidRPr="00006AA5">
        <w:rPr>
          <w:sz w:val="24"/>
        </w:rPr>
        <w:t xml:space="preserve"> </w:t>
      </w:r>
      <w:proofErr w:type="spellStart"/>
      <w:r w:rsidRPr="00006AA5">
        <w:rPr>
          <w:sz w:val="24"/>
        </w:rPr>
        <w:t>disuspensikan</w:t>
      </w:r>
      <w:proofErr w:type="spellEnd"/>
      <w:r w:rsidRPr="00006AA5">
        <w:rPr>
          <w:sz w:val="24"/>
        </w:rPr>
        <w:t xml:space="preserve"> </w:t>
      </w:r>
      <w:proofErr w:type="spellStart"/>
      <w:r w:rsidRPr="00006AA5">
        <w:rPr>
          <w:sz w:val="24"/>
        </w:rPr>
        <w:t>ke</w:t>
      </w:r>
      <w:proofErr w:type="spellEnd"/>
      <w:r w:rsidRPr="00006AA5">
        <w:rPr>
          <w:sz w:val="24"/>
        </w:rPr>
        <w:t xml:space="preserve"> </w:t>
      </w:r>
      <w:proofErr w:type="spellStart"/>
      <w:r w:rsidRPr="00006AA5">
        <w:rPr>
          <w:sz w:val="24"/>
        </w:rPr>
        <w:t>dalam</w:t>
      </w:r>
      <w:proofErr w:type="spellEnd"/>
      <w:r w:rsidRPr="00006AA5">
        <w:rPr>
          <w:sz w:val="24"/>
        </w:rPr>
        <w:t xml:space="preserve"> CMC Na 1% </w:t>
      </w:r>
      <w:proofErr w:type="spellStart"/>
      <w:r w:rsidRPr="00006AA5">
        <w:rPr>
          <w:sz w:val="24"/>
        </w:rPr>
        <w:t>sedikit</w:t>
      </w:r>
      <w:proofErr w:type="spellEnd"/>
      <w:r w:rsidRPr="00006AA5">
        <w:rPr>
          <w:sz w:val="24"/>
        </w:rPr>
        <w:t xml:space="preserve"> demi </w:t>
      </w:r>
      <w:proofErr w:type="spellStart"/>
      <w:r w:rsidRPr="00006AA5">
        <w:rPr>
          <w:sz w:val="24"/>
        </w:rPr>
        <w:t>sedikit</w:t>
      </w:r>
      <w:proofErr w:type="spellEnd"/>
      <w:r w:rsidRPr="00006AA5">
        <w:rPr>
          <w:sz w:val="24"/>
        </w:rPr>
        <w:t xml:space="preserve"> </w:t>
      </w:r>
      <w:proofErr w:type="spellStart"/>
      <w:r w:rsidRPr="00006AA5">
        <w:rPr>
          <w:sz w:val="24"/>
        </w:rPr>
        <w:t>sambil</w:t>
      </w:r>
      <w:proofErr w:type="spellEnd"/>
      <w:r w:rsidRPr="00006AA5">
        <w:rPr>
          <w:sz w:val="24"/>
        </w:rPr>
        <w:t xml:space="preserve"> </w:t>
      </w:r>
      <w:proofErr w:type="spellStart"/>
      <w:r w:rsidRPr="00006AA5">
        <w:rPr>
          <w:sz w:val="24"/>
        </w:rPr>
        <w:t>diaduk</w:t>
      </w:r>
      <w:proofErr w:type="spellEnd"/>
      <w:r w:rsidRPr="00006AA5">
        <w:rPr>
          <w:sz w:val="24"/>
        </w:rPr>
        <w:t xml:space="preserve">, </w:t>
      </w:r>
      <w:proofErr w:type="spellStart"/>
      <w:r w:rsidRPr="00006AA5">
        <w:rPr>
          <w:sz w:val="24"/>
        </w:rPr>
        <w:t>lalu</w:t>
      </w:r>
      <w:proofErr w:type="spellEnd"/>
      <w:r w:rsidRPr="00006AA5">
        <w:rPr>
          <w:sz w:val="24"/>
        </w:rPr>
        <w:t xml:space="preserve"> </w:t>
      </w:r>
      <w:proofErr w:type="spellStart"/>
      <w:r w:rsidRPr="00006AA5">
        <w:rPr>
          <w:sz w:val="24"/>
        </w:rPr>
        <w:t>ditambahkan</w:t>
      </w:r>
      <w:proofErr w:type="spellEnd"/>
      <w:r w:rsidRPr="00006AA5">
        <w:rPr>
          <w:sz w:val="24"/>
        </w:rPr>
        <w:t xml:space="preserve"> </w:t>
      </w:r>
      <w:proofErr w:type="spellStart"/>
      <w:r w:rsidRPr="00006AA5">
        <w:rPr>
          <w:sz w:val="24"/>
        </w:rPr>
        <w:t>akuades</w:t>
      </w:r>
      <w:proofErr w:type="spellEnd"/>
      <w:r w:rsidRPr="00006AA5">
        <w:rPr>
          <w:sz w:val="24"/>
        </w:rPr>
        <w:t xml:space="preserve"> </w:t>
      </w:r>
      <w:proofErr w:type="spellStart"/>
      <w:r w:rsidRPr="00006AA5">
        <w:rPr>
          <w:sz w:val="24"/>
        </w:rPr>
        <w:t>hingga</w:t>
      </w:r>
      <w:proofErr w:type="spellEnd"/>
      <w:r w:rsidRPr="00006AA5">
        <w:rPr>
          <w:sz w:val="24"/>
        </w:rPr>
        <w:t xml:space="preserve"> </w:t>
      </w:r>
      <w:proofErr w:type="spellStart"/>
      <w:r w:rsidRPr="00006AA5">
        <w:rPr>
          <w:sz w:val="24"/>
        </w:rPr>
        <w:t>volumenya</w:t>
      </w:r>
      <w:proofErr w:type="spellEnd"/>
      <w:r w:rsidRPr="00006AA5">
        <w:rPr>
          <w:sz w:val="24"/>
        </w:rPr>
        <w:t xml:space="preserve"> 100 mL (</w:t>
      </w:r>
      <w:proofErr w:type="spellStart"/>
      <w:r w:rsidRPr="00006AA5">
        <w:rPr>
          <w:sz w:val="24"/>
        </w:rPr>
        <w:t>Djuwarno</w:t>
      </w:r>
      <w:proofErr w:type="spellEnd"/>
      <w:r w:rsidRPr="00006AA5">
        <w:rPr>
          <w:sz w:val="24"/>
        </w:rPr>
        <w:t xml:space="preserve"> and Abdulkadir, 2019).</w:t>
      </w:r>
    </w:p>
    <w:p w14:paraId="4424A043" w14:textId="687D324E" w:rsidR="00006AA5" w:rsidRDefault="00006AA5" w:rsidP="00006AA5">
      <w:pPr>
        <w:pStyle w:val="ListParagraph1"/>
        <w:numPr>
          <w:ilvl w:val="0"/>
          <w:numId w:val="26"/>
        </w:numPr>
        <w:spacing w:after="0" w:line="240" w:lineRule="auto"/>
        <w:jc w:val="both"/>
        <w:rPr>
          <w:rFonts w:ascii="Times New Roman" w:hAnsi="Times New Roman"/>
          <w:b/>
          <w:sz w:val="24"/>
          <w:szCs w:val="24"/>
        </w:rPr>
      </w:pPr>
      <w:proofErr w:type="spellStart"/>
      <w:r>
        <w:rPr>
          <w:rFonts w:ascii="Times New Roman" w:hAnsi="Times New Roman"/>
          <w:b/>
          <w:sz w:val="24"/>
          <w:szCs w:val="24"/>
        </w:rPr>
        <w:t>Suspensi</w:t>
      </w:r>
      <w:proofErr w:type="spellEnd"/>
      <w:r>
        <w:rPr>
          <w:rFonts w:ascii="Times New Roman" w:hAnsi="Times New Roman"/>
          <w:b/>
          <w:sz w:val="24"/>
          <w:szCs w:val="24"/>
        </w:rPr>
        <w:t xml:space="preserve"> Dapagliflozin 10 mg (0.0039%)</w:t>
      </w:r>
    </w:p>
    <w:p w14:paraId="25FFC2B7" w14:textId="2692A137" w:rsidR="00006AA5" w:rsidRDefault="00006AA5" w:rsidP="00006AA5">
      <w:pPr>
        <w:pStyle w:val="ListParagraph1"/>
        <w:spacing w:after="0" w:line="240" w:lineRule="auto"/>
        <w:ind w:left="1080" w:firstLine="360"/>
        <w:jc w:val="both"/>
        <w:rPr>
          <w:rFonts w:ascii="Times New Roman" w:hAnsi="Times New Roman"/>
          <w:noProof/>
          <w:sz w:val="24"/>
          <w:szCs w:val="24"/>
        </w:rPr>
      </w:pPr>
      <w:r w:rsidRPr="00006AA5">
        <w:rPr>
          <w:rFonts w:ascii="Times New Roman" w:hAnsi="Times New Roman"/>
          <w:noProof/>
          <w:sz w:val="24"/>
          <w:szCs w:val="24"/>
        </w:rPr>
        <w:t xml:space="preserve">Dapagliflozin dalam bentuk serbuk ditimbang sebanyak 3,9 mg, dosis yang digunakan diperoleh dari hasil faktor konversi dari manusia ke mencit, kemudian disuspensikan ke dalam CMC Na 1% sedikit demi sedikit sambil diaduk, lalu ditambahkan akuades hingga volumenya 100 mL </w:t>
      </w:r>
      <w:r w:rsidRPr="00006AA5">
        <w:rPr>
          <w:rFonts w:ascii="Times New Roman" w:hAnsi="Times New Roman"/>
          <w:b/>
          <w:noProof/>
          <w:sz w:val="24"/>
          <w:szCs w:val="24"/>
        </w:rPr>
        <w:fldChar w:fldCharType="begin" w:fldLock="1"/>
      </w:r>
      <w:r w:rsidRPr="00006AA5">
        <w:rPr>
          <w:rFonts w:ascii="Times New Roman" w:hAnsi="Times New Roman"/>
          <w:noProof/>
          <w:sz w:val="24"/>
          <w:szCs w:val="24"/>
        </w:rPr>
        <w:instrText>ADDIN CSL_CITATION {"citationItems":[{"id":"ITEM-1","itemData":{"author":[{"dropping-particle":"","family":"Djuwarno","given":"Endah Nurrohwinta","non-dropping-particle":"","parse-names":false,"suffix":""},{"dropping-particle":"","family":"Abdulkadir","given":"Widysusanti","non-dropping-particle":"","parse-names":false,"suffix":""}],"id":"ITEM-1","issued":{"date-parts":[["2019"]]},"page":"8-13","title":"Penurunan Kadar Glukosa Mencit","type":"article-journal","volume":"1"},"uris":["http://www.mendeley.com/documents/?uuid=f1aa8a41-c9aa-481c-a998-292b3c37a939"]}],"mendeley":{"formattedCitation":"(Djuwarno and Abdulkadir, 2019)","plainTextFormattedCitation":"(Djuwarno and Abdulkadir, 2019)","previouslyFormattedCitation":"(13)"},"properties":{"noteIndex":0},"schema":"https://github.com/citation-style-language/schema/raw/master/csl-citation.json"}</w:instrText>
      </w:r>
      <w:r w:rsidRPr="00006AA5">
        <w:rPr>
          <w:rFonts w:ascii="Times New Roman" w:hAnsi="Times New Roman"/>
          <w:b/>
          <w:noProof/>
          <w:sz w:val="24"/>
          <w:szCs w:val="24"/>
        </w:rPr>
        <w:fldChar w:fldCharType="separate"/>
      </w:r>
      <w:r w:rsidRPr="00006AA5">
        <w:rPr>
          <w:rFonts w:ascii="Times New Roman" w:hAnsi="Times New Roman"/>
          <w:noProof/>
          <w:sz w:val="24"/>
          <w:szCs w:val="24"/>
        </w:rPr>
        <w:t>(Djuwarno and Abdulkadir, 2019)</w:t>
      </w:r>
      <w:r w:rsidRPr="00006AA5">
        <w:rPr>
          <w:rFonts w:ascii="Times New Roman" w:hAnsi="Times New Roman"/>
          <w:b/>
          <w:noProof/>
          <w:sz w:val="24"/>
          <w:szCs w:val="24"/>
        </w:rPr>
        <w:fldChar w:fldCharType="end"/>
      </w:r>
      <w:r w:rsidRPr="00006AA5">
        <w:rPr>
          <w:rFonts w:ascii="Times New Roman" w:hAnsi="Times New Roman"/>
          <w:noProof/>
          <w:sz w:val="24"/>
          <w:szCs w:val="24"/>
        </w:rPr>
        <w:t>.</w:t>
      </w:r>
    </w:p>
    <w:p w14:paraId="623F8C20" w14:textId="0512BF1E" w:rsidR="00006AA5" w:rsidRPr="00006AA5" w:rsidRDefault="00006AA5" w:rsidP="00006AA5">
      <w:pPr>
        <w:pStyle w:val="ListParagraph1"/>
        <w:numPr>
          <w:ilvl w:val="0"/>
          <w:numId w:val="26"/>
        </w:numPr>
        <w:spacing w:after="0" w:line="240" w:lineRule="auto"/>
        <w:jc w:val="both"/>
        <w:rPr>
          <w:rFonts w:ascii="Times New Roman" w:hAnsi="Times New Roman"/>
          <w:b/>
          <w:sz w:val="24"/>
          <w:szCs w:val="24"/>
        </w:rPr>
      </w:pPr>
      <w:r>
        <w:rPr>
          <w:rFonts w:ascii="Times New Roman" w:hAnsi="Times New Roman"/>
          <w:b/>
          <w:bCs/>
          <w:noProof/>
          <w:sz w:val="24"/>
          <w:szCs w:val="24"/>
        </w:rPr>
        <w:t>Suspensi Saxagliptin 5 mg (0.0019%)</w:t>
      </w:r>
    </w:p>
    <w:p w14:paraId="2D2B93CE" w14:textId="22715C49" w:rsidR="00006AA5" w:rsidRDefault="00006AA5" w:rsidP="00006AA5">
      <w:pPr>
        <w:pStyle w:val="ListParagraph"/>
        <w:ind w:left="1080" w:firstLine="360"/>
        <w:jc w:val="both"/>
        <w:rPr>
          <w:noProof/>
          <w:sz w:val="24"/>
        </w:rPr>
      </w:pPr>
      <w:r w:rsidRPr="00006AA5">
        <w:rPr>
          <w:noProof/>
          <w:sz w:val="24"/>
        </w:rPr>
        <w:t xml:space="preserve">Saxagliptin dalam bentuk serbuk ditimbang sebanyak 1,9 mg, dosis yang digunakan diperoleh dari hasil faktor konversi dari manusia ke mencit, kemudian disuspensikan ke dalam CMC Na 1% sedikit demi sedikit sambil diaduk, lalu ditambahkan akuades hingga volumenya 100 mL </w:t>
      </w:r>
      <w:r w:rsidRPr="00006AA5">
        <w:rPr>
          <w:b/>
          <w:noProof/>
          <w:sz w:val="24"/>
        </w:rPr>
        <w:fldChar w:fldCharType="begin" w:fldLock="1"/>
      </w:r>
      <w:r w:rsidRPr="00006AA5">
        <w:rPr>
          <w:noProof/>
          <w:sz w:val="24"/>
        </w:rPr>
        <w:instrText>ADDIN CSL_CITATION {"citationItems":[{"id":"ITEM-1","itemData":{"author":[{"dropping-particle":"","family":"Djuwarno","given":"Endah Nurrohwinta","non-dropping-particle":"","parse-names":false,"suffix":""},{"dropping-particle":"","family":"Abdulkadir","given":"Widysusanti","non-dropping-particle":"","parse-names":false,"suffix":""}],"id":"ITEM-1","issued":{"date-parts":[["2019"]]},"page":"8-13","title":"Penurunan Kadar Glukosa Mencit","type":"article-journal","volume":"1"},"uris":["http://www.mendeley.com/documents/?uuid=f1aa8a41-c9aa-481c-a998-292b3c37a939"]}],"mendeley":{"formattedCitation":"(Djuwarno and Abdulkadir, 2019)","plainTextFormattedCitation":"(Djuwarno and Abdulkadir, 2019)","previouslyFormattedCitation":"(13)"},"properties":{"noteIndex":0},"schema":"https://github.com/citation-style-language/schema/raw/master/csl-citation.json"}</w:instrText>
      </w:r>
      <w:r w:rsidRPr="00006AA5">
        <w:rPr>
          <w:b/>
          <w:noProof/>
          <w:sz w:val="24"/>
        </w:rPr>
        <w:fldChar w:fldCharType="separate"/>
      </w:r>
      <w:r w:rsidRPr="00006AA5">
        <w:rPr>
          <w:noProof/>
          <w:sz w:val="24"/>
        </w:rPr>
        <w:t>(Djuwarno and Abdulkadir, 2019)</w:t>
      </w:r>
      <w:r w:rsidRPr="00006AA5">
        <w:rPr>
          <w:b/>
          <w:noProof/>
          <w:sz w:val="24"/>
        </w:rPr>
        <w:fldChar w:fldCharType="end"/>
      </w:r>
      <w:r w:rsidRPr="00006AA5">
        <w:rPr>
          <w:noProof/>
          <w:sz w:val="24"/>
        </w:rPr>
        <w:t>.</w:t>
      </w:r>
    </w:p>
    <w:p w14:paraId="369C7656" w14:textId="77777777" w:rsidR="00006AA5" w:rsidRDefault="00006AA5" w:rsidP="00006AA5">
      <w:pPr>
        <w:pStyle w:val="ListParagraph"/>
        <w:numPr>
          <w:ilvl w:val="0"/>
          <w:numId w:val="26"/>
        </w:numPr>
        <w:jc w:val="both"/>
        <w:rPr>
          <w:b/>
          <w:noProof/>
          <w:sz w:val="24"/>
        </w:rPr>
      </w:pPr>
      <w:r>
        <w:rPr>
          <w:b/>
          <w:noProof/>
          <w:sz w:val="24"/>
        </w:rPr>
        <w:t>Suspensi Glimepirid 2 mg (0.00052%)</w:t>
      </w:r>
    </w:p>
    <w:p w14:paraId="084C53A8" w14:textId="5C90B5D4" w:rsidR="00006AA5" w:rsidRPr="00006AA5" w:rsidRDefault="00006AA5" w:rsidP="00006AA5">
      <w:pPr>
        <w:pStyle w:val="ListParagraph"/>
        <w:ind w:left="1080" w:firstLine="360"/>
        <w:jc w:val="both"/>
        <w:rPr>
          <w:b/>
          <w:noProof/>
          <w:sz w:val="24"/>
          <w:szCs w:val="24"/>
        </w:rPr>
      </w:pPr>
      <w:proofErr w:type="spellStart"/>
      <w:r w:rsidRPr="00006AA5">
        <w:rPr>
          <w:sz w:val="24"/>
          <w:szCs w:val="24"/>
        </w:rPr>
        <w:t>Glimepirid</w:t>
      </w:r>
      <w:proofErr w:type="spellEnd"/>
      <w:r w:rsidRPr="00006AA5">
        <w:rPr>
          <w:sz w:val="24"/>
          <w:szCs w:val="24"/>
        </w:rPr>
        <w:t xml:space="preserve"> </w:t>
      </w:r>
      <w:proofErr w:type="spellStart"/>
      <w:r w:rsidRPr="00006AA5">
        <w:rPr>
          <w:sz w:val="24"/>
          <w:szCs w:val="24"/>
        </w:rPr>
        <w:t>dalam</w:t>
      </w:r>
      <w:proofErr w:type="spellEnd"/>
      <w:r w:rsidRPr="00006AA5">
        <w:rPr>
          <w:sz w:val="24"/>
          <w:szCs w:val="24"/>
        </w:rPr>
        <w:t xml:space="preserve"> </w:t>
      </w:r>
      <w:proofErr w:type="spellStart"/>
      <w:r w:rsidRPr="00006AA5">
        <w:rPr>
          <w:sz w:val="24"/>
          <w:szCs w:val="24"/>
        </w:rPr>
        <w:t>bentuk</w:t>
      </w:r>
      <w:proofErr w:type="spellEnd"/>
      <w:r w:rsidRPr="00006AA5">
        <w:rPr>
          <w:sz w:val="24"/>
          <w:szCs w:val="24"/>
        </w:rPr>
        <w:t xml:space="preserve"> </w:t>
      </w:r>
      <w:proofErr w:type="spellStart"/>
      <w:r w:rsidRPr="00006AA5">
        <w:rPr>
          <w:sz w:val="24"/>
          <w:szCs w:val="24"/>
        </w:rPr>
        <w:t>serbuk</w:t>
      </w:r>
      <w:proofErr w:type="spellEnd"/>
      <w:r w:rsidRPr="00006AA5">
        <w:rPr>
          <w:sz w:val="24"/>
          <w:szCs w:val="24"/>
        </w:rPr>
        <w:t xml:space="preserve"> </w:t>
      </w:r>
      <w:proofErr w:type="spellStart"/>
      <w:r w:rsidRPr="00006AA5">
        <w:rPr>
          <w:sz w:val="24"/>
          <w:szCs w:val="24"/>
        </w:rPr>
        <w:t>ditimbang</w:t>
      </w:r>
      <w:proofErr w:type="spellEnd"/>
      <w:r w:rsidRPr="00006AA5">
        <w:rPr>
          <w:sz w:val="24"/>
          <w:szCs w:val="24"/>
        </w:rPr>
        <w:t xml:space="preserve"> </w:t>
      </w:r>
      <w:proofErr w:type="spellStart"/>
      <w:r w:rsidRPr="00006AA5">
        <w:rPr>
          <w:sz w:val="24"/>
          <w:szCs w:val="24"/>
        </w:rPr>
        <w:t>sebanyak</w:t>
      </w:r>
      <w:proofErr w:type="spellEnd"/>
      <w:r w:rsidRPr="00006AA5">
        <w:rPr>
          <w:sz w:val="24"/>
          <w:szCs w:val="24"/>
        </w:rPr>
        <w:t xml:space="preserve"> 0,52 mg, </w:t>
      </w:r>
      <w:proofErr w:type="spellStart"/>
      <w:r w:rsidRPr="00006AA5">
        <w:rPr>
          <w:sz w:val="24"/>
          <w:szCs w:val="24"/>
        </w:rPr>
        <w:t>dosis</w:t>
      </w:r>
      <w:proofErr w:type="spellEnd"/>
      <w:r w:rsidRPr="00006AA5">
        <w:rPr>
          <w:sz w:val="24"/>
          <w:szCs w:val="24"/>
        </w:rPr>
        <w:t xml:space="preserve"> yang </w:t>
      </w:r>
      <w:proofErr w:type="spellStart"/>
      <w:r w:rsidRPr="00006AA5">
        <w:rPr>
          <w:sz w:val="24"/>
          <w:szCs w:val="24"/>
        </w:rPr>
        <w:t>digunakan</w:t>
      </w:r>
      <w:proofErr w:type="spellEnd"/>
      <w:r w:rsidRPr="00006AA5">
        <w:rPr>
          <w:sz w:val="24"/>
          <w:szCs w:val="24"/>
        </w:rPr>
        <w:t xml:space="preserve"> </w:t>
      </w:r>
      <w:proofErr w:type="spellStart"/>
      <w:r w:rsidRPr="00006AA5">
        <w:rPr>
          <w:sz w:val="24"/>
          <w:szCs w:val="24"/>
        </w:rPr>
        <w:t>diperoleh</w:t>
      </w:r>
      <w:proofErr w:type="spellEnd"/>
      <w:r w:rsidRPr="00006AA5">
        <w:rPr>
          <w:sz w:val="24"/>
          <w:szCs w:val="24"/>
        </w:rPr>
        <w:t xml:space="preserve"> </w:t>
      </w:r>
      <w:proofErr w:type="spellStart"/>
      <w:r w:rsidRPr="00006AA5">
        <w:rPr>
          <w:sz w:val="24"/>
          <w:szCs w:val="24"/>
        </w:rPr>
        <w:t>dari</w:t>
      </w:r>
      <w:proofErr w:type="spellEnd"/>
      <w:r w:rsidRPr="00006AA5">
        <w:rPr>
          <w:sz w:val="24"/>
          <w:szCs w:val="24"/>
        </w:rPr>
        <w:t xml:space="preserve"> </w:t>
      </w:r>
      <w:proofErr w:type="spellStart"/>
      <w:r w:rsidRPr="00006AA5">
        <w:rPr>
          <w:sz w:val="24"/>
          <w:szCs w:val="24"/>
        </w:rPr>
        <w:t>hasil</w:t>
      </w:r>
      <w:proofErr w:type="spellEnd"/>
      <w:r w:rsidRPr="00006AA5">
        <w:rPr>
          <w:sz w:val="24"/>
          <w:szCs w:val="24"/>
        </w:rPr>
        <w:t xml:space="preserve"> </w:t>
      </w:r>
      <w:proofErr w:type="spellStart"/>
      <w:r w:rsidRPr="00006AA5">
        <w:rPr>
          <w:sz w:val="24"/>
          <w:szCs w:val="24"/>
        </w:rPr>
        <w:t>faktor</w:t>
      </w:r>
      <w:proofErr w:type="spellEnd"/>
      <w:r w:rsidRPr="00006AA5">
        <w:rPr>
          <w:sz w:val="24"/>
          <w:szCs w:val="24"/>
        </w:rPr>
        <w:t xml:space="preserve"> </w:t>
      </w:r>
      <w:proofErr w:type="spellStart"/>
      <w:r w:rsidRPr="00006AA5">
        <w:rPr>
          <w:sz w:val="24"/>
          <w:szCs w:val="24"/>
        </w:rPr>
        <w:t>konversi</w:t>
      </w:r>
      <w:proofErr w:type="spellEnd"/>
      <w:r w:rsidRPr="00006AA5">
        <w:rPr>
          <w:sz w:val="24"/>
          <w:szCs w:val="24"/>
        </w:rPr>
        <w:t xml:space="preserve"> </w:t>
      </w:r>
      <w:proofErr w:type="spellStart"/>
      <w:r w:rsidRPr="00006AA5">
        <w:rPr>
          <w:sz w:val="24"/>
          <w:szCs w:val="24"/>
        </w:rPr>
        <w:t>dari</w:t>
      </w:r>
      <w:proofErr w:type="spellEnd"/>
      <w:r w:rsidRPr="00006AA5">
        <w:rPr>
          <w:sz w:val="24"/>
          <w:szCs w:val="24"/>
        </w:rPr>
        <w:t xml:space="preserve"> </w:t>
      </w:r>
      <w:proofErr w:type="spellStart"/>
      <w:r w:rsidRPr="00006AA5">
        <w:rPr>
          <w:sz w:val="24"/>
          <w:szCs w:val="24"/>
        </w:rPr>
        <w:t>manusia</w:t>
      </w:r>
      <w:proofErr w:type="spellEnd"/>
      <w:r w:rsidRPr="00006AA5">
        <w:rPr>
          <w:sz w:val="24"/>
          <w:szCs w:val="24"/>
        </w:rPr>
        <w:t xml:space="preserve"> </w:t>
      </w:r>
      <w:proofErr w:type="spellStart"/>
      <w:r w:rsidRPr="00006AA5">
        <w:rPr>
          <w:sz w:val="24"/>
          <w:szCs w:val="24"/>
        </w:rPr>
        <w:t>ke</w:t>
      </w:r>
      <w:proofErr w:type="spellEnd"/>
      <w:r w:rsidRPr="00006AA5">
        <w:rPr>
          <w:sz w:val="24"/>
          <w:szCs w:val="24"/>
        </w:rPr>
        <w:t xml:space="preserve"> </w:t>
      </w:r>
      <w:proofErr w:type="spellStart"/>
      <w:r w:rsidRPr="00006AA5">
        <w:rPr>
          <w:sz w:val="24"/>
          <w:szCs w:val="24"/>
        </w:rPr>
        <w:t>mencit</w:t>
      </w:r>
      <w:proofErr w:type="spellEnd"/>
      <w:r w:rsidRPr="00006AA5">
        <w:rPr>
          <w:sz w:val="24"/>
          <w:szCs w:val="24"/>
        </w:rPr>
        <w:t xml:space="preserve">, </w:t>
      </w:r>
      <w:proofErr w:type="spellStart"/>
      <w:r w:rsidRPr="00006AA5">
        <w:rPr>
          <w:sz w:val="24"/>
          <w:szCs w:val="24"/>
        </w:rPr>
        <w:t>kemudian</w:t>
      </w:r>
      <w:proofErr w:type="spellEnd"/>
      <w:r w:rsidRPr="00006AA5">
        <w:rPr>
          <w:sz w:val="24"/>
          <w:szCs w:val="24"/>
        </w:rPr>
        <w:t xml:space="preserve"> </w:t>
      </w:r>
      <w:proofErr w:type="spellStart"/>
      <w:r w:rsidRPr="00006AA5">
        <w:rPr>
          <w:sz w:val="24"/>
          <w:szCs w:val="24"/>
        </w:rPr>
        <w:t>disuspensikan</w:t>
      </w:r>
      <w:proofErr w:type="spellEnd"/>
      <w:r w:rsidRPr="00006AA5">
        <w:rPr>
          <w:sz w:val="24"/>
          <w:szCs w:val="24"/>
        </w:rPr>
        <w:t xml:space="preserve"> </w:t>
      </w:r>
      <w:proofErr w:type="spellStart"/>
      <w:r w:rsidRPr="00006AA5">
        <w:rPr>
          <w:sz w:val="24"/>
          <w:szCs w:val="24"/>
        </w:rPr>
        <w:t>ke</w:t>
      </w:r>
      <w:proofErr w:type="spellEnd"/>
      <w:r w:rsidRPr="00006AA5">
        <w:rPr>
          <w:sz w:val="24"/>
          <w:szCs w:val="24"/>
        </w:rPr>
        <w:t xml:space="preserve"> </w:t>
      </w:r>
      <w:proofErr w:type="spellStart"/>
      <w:r w:rsidRPr="00006AA5">
        <w:rPr>
          <w:sz w:val="24"/>
          <w:szCs w:val="24"/>
        </w:rPr>
        <w:t>dalam</w:t>
      </w:r>
      <w:proofErr w:type="spellEnd"/>
      <w:r w:rsidRPr="00006AA5">
        <w:rPr>
          <w:sz w:val="24"/>
          <w:szCs w:val="24"/>
        </w:rPr>
        <w:t xml:space="preserve"> CMC Na 1% </w:t>
      </w:r>
      <w:proofErr w:type="spellStart"/>
      <w:r w:rsidRPr="00006AA5">
        <w:rPr>
          <w:sz w:val="24"/>
          <w:szCs w:val="24"/>
        </w:rPr>
        <w:t>sedikit</w:t>
      </w:r>
      <w:proofErr w:type="spellEnd"/>
      <w:r w:rsidRPr="00006AA5">
        <w:rPr>
          <w:sz w:val="24"/>
          <w:szCs w:val="24"/>
        </w:rPr>
        <w:t xml:space="preserve"> demi </w:t>
      </w:r>
      <w:proofErr w:type="spellStart"/>
      <w:r w:rsidRPr="00006AA5">
        <w:rPr>
          <w:sz w:val="24"/>
          <w:szCs w:val="24"/>
        </w:rPr>
        <w:t>sedikit</w:t>
      </w:r>
      <w:proofErr w:type="spellEnd"/>
      <w:r w:rsidRPr="00006AA5">
        <w:rPr>
          <w:sz w:val="24"/>
          <w:szCs w:val="24"/>
        </w:rPr>
        <w:t xml:space="preserve"> </w:t>
      </w:r>
      <w:proofErr w:type="spellStart"/>
      <w:r w:rsidRPr="00006AA5">
        <w:rPr>
          <w:sz w:val="24"/>
          <w:szCs w:val="24"/>
        </w:rPr>
        <w:t>sambil</w:t>
      </w:r>
      <w:proofErr w:type="spellEnd"/>
      <w:r w:rsidRPr="00006AA5">
        <w:rPr>
          <w:sz w:val="24"/>
          <w:szCs w:val="24"/>
        </w:rPr>
        <w:t xml:space="preserve"> </w:t>
      </w:r>
      <w:proofErr w:type="spellStart"/>
      <w:r w:rsidRPr="00006AA5">
        <w:rPr>
          <w:sz w:val="24"/>
          <w:szCs w:val="24"/>
        </w:rPr>
        <w:t>diaduk</w:t>
      </w:r>
      <w:proofErr w:type="spellEnd"/>
      <w:r w:rsidRPr="00006AA5">
        <w:rPr>
          <w:sz w:val="24"/>
          <w:szCs w:val="24"/>
        </w:rPr>
        <w:t xml:space="preserve">, </w:t>
      </w:r>
      <w:proofErr w:type="spellStart"/>
      <w:r w:rsidRPr="00006AA5">
        <w:rPr>
          <w:sz w:val="24"/>
          <w:szCs w:val="24"/>
        </w:rPr>
        <w:t>lalu</w:t>
      </w:r>
      <w:proofErr w:type="spellEnd"/>
      <w:r w:rsidRPr="00006AA5">
        <w:rPr>
          <w:sz w:val="24"/>
          <w:szCs w:val="24"/>
        </w:rPr>
        <w:t xml:space="preserve"> </w:t>
      </w:r>
      <w:proofErr w:type="spellStart"/>
      <w:r w:rsidRPr="00006AA5">
        <w:rPr>
          <w:sz w:val="24"/>
          <w:szCs w:val="24"/>
        </w:rPr>
        <w:t>ditambahkan</w:t>
      </w:r>
      <w:proofErr w:type="spellEnd"/>
      <w:r w:rsidRPr="00006AA5">
        <w:rPr>
          <w:sz w:val="24"/>
          <w:szCs w:val="24"/>
        </w:rPr>
        <w:t xml:space="preserve"> </w:t>
      </w:r>
      <w:proofErr w:type="spellStart"/>
      <w:r w:rsidRPr="00006AA5">
        <w:rPr>
          <w:sz w:val="24"/>
          <w:szCs w:val="24"/>
        </w:rPr>
        <w:t>akuades</w:t>
      </w:r>
      <w:proofErr w:type="spellEnd"/>
      <w:r w:rsidRPr="00006AA5">
        <w:rPr>
          <w:sz w:val="24"/>
          <w:szCs w:val="24"/>
        </w:rPr>
        <w:t xml:space="preserve"> </w:t>
      </w:r>
      <w:proofErr w:type="spellStart"/>
      <w:r w:rsidRPr="00006AA5">
        <w:rPr>
          <w:sz w:val="24"/>
          <w:szCs w:val="24"/>
        </w:rPr>
        <w:t>hingga</w:t>
      </w:r>
      <w:proofErr w:type="spellEnd"/>
      <w:r w:rsidRPr="00006AA5">
        <w:rPr>
          <w:sz w:val="24"/>
          <w:szCs w:val="24"/>
        </w:rPr>
        <w:t xml:space="preserve"> </w:t>
      </w:r>
      <w:proofErr w:type="spellStart"/>
      <w:r w:rsidRPr="00006AA5">
        <w:rPr>
          <w:sz w:val="24"/>
          <w:szCs w:val="24"/>
        </w:rPr>
        <w:t>volumenya</w:t>
      </w:r>
      <w:proofErr w:type="spellEnd"/>
      <w:r w:rsidRPr="00006AA5">
        <w:rPr>
          <w:sz w:val="24"/>
          <w:szCs w:val="24"/>
        </w:rPr>
        <w:t xml:space="preserve"> 100 mL </w:t>
      </w:r>
      <w:r w:rsidRPr="00006AA5">
        <w:rPr>
          <w:sz w:val="24"/>
          <w:szCs w:val="24"/>
        </w:rPr>
        <w:fldChar w:fldCharType="begin" w:fldLock="1"/>
      </w:r>
      <w:r w:rsidRPr="00006AA5">
        <w:rPr>
          <w:sz w:val="24"/>
          <w:szCs w:val="24"/>
        </w:rPr>
        <w:instrText>ADDIN CSL_CITATION {"citationItems":[{"id":"ITEM-1","itemData":{"author":[{"dropping-particle":"","family":"Djuwarno","given":"Endah Nurrohwinta","non-dropping-particle":"","parse-names":false,"suffix":""},{"dropping-particle":"","family":"Abdulkadir","given":"Widysusanti","non-dropping-particle":"","parse-names":false,"suffix":""}],"id":"ITEM-1","issued":{"date-parts":[["2019"]]},"page":"8-13","title":"Penurunan Kadar Glukosa Mencit","type":"article-journal","volume":"1"},"uris":["http://www.mendeley.com/documents/?uuid=f1aa8a41-c9aa-481c-a998-292b3c37a939"]}],"mendeley":{"formattedCitation":"(Djuwarno and Abdulkadir, 2019)","plainTextFormattedCitation":"(Djuwarno and Abdulkadir, 2019)","previouslyFormattedCitation":"(13)"},"properties":{"noteIndex":0},"schema":"https://github.com/citation-style-language/schema/raw/master/csl-citation.json"}</w:instrText>
      </w:r>
      <w:r w:rsidRPr="00006AA5">
        <w:rPr>
          <w:sz w:val="24"/>
          <w:szCs w:val="24"/>
        </w:rPr>
        <w:fldChar w:fldCharType="separate"/>
      </w:r>
      <w:r w:rsidRPr="00006AA5">
        <w:rPr>
          <w:sz w:val="24"/>
          <w:szCs w:val="24"/>
        </w:rPr>
        <w:t>(Djuwarno and Abdulkadir, 2019)</w:t>
      </w:r>
      <w:r w:rsidRPr="00006AA5">
        <w:rPr>
          <w:sz w:val="24"/>
          <w:szCs w:val="24"/>
        </w:rPr>
        <w:fldChar w:fldCharType="end"/>
      </w:r>
      <w:r w:rsidRPr="00006AA5">
        <w:rPr>
          <w:sz w:val="24"/>
          <w:szCs w:val="24"/>
        </w:rPr>
        <w:t>.</w:t>
      </w:r>
    </w:p>
    <w:p w14:paraId="304A2008" w14:textId="431ACE36" w:rsidR="00006AA5" w:rsidRDefault="00006AA5" w:rsidP="00006AA5">
      <w:pPr>
        <w:pStyle w:val="ListParagraph"/>
        <w:numPr>
          <w:ilvl w:val="0"/>
          <w:numId w:val="25"/>
        </w:numPr>
        <w:jc w:val="both"/>
        <w:rPr>
          <w:b/>
          <w:noProof/>
          <w:sz w:val="24"/>
          <w:szCs w:val="24"/>
        </w:rPr>
      </w:pPr>
      <w:r>
        <w:rPr>
          <w:b/>
          <w:noProof/>
          <w:sz w:val="24"/>
          <w:szCs w:val="24"/>
        </w:rPr>
        <w:t>Pembuatan Diabetes Hewan Uji</w:t>
      </w:r>
    </w:p>
    <w:p w14:paraId="1E0E37AC" w14:textId="77777777" w:rsidR="00006AA5" w:rsidRDefault="00006AA5" w:rsidP="00006AA5">
      <w:pPr>
        <w:pStyle w:val="ListParagraph"/>
        <w:jc w:val="both"/>
        <w:rPr>
          <w:noProof/>
          <w:sz w:val="24"/>
        </w:rPr>
      </w:pPr>
      <w:r>
        <w:rPr>
          <w:noProof/>
          <w:sz w:val="24"/>
        </w:rPr>
        <w:t xml:space="preserve">       </w:t>
      </w:r>
      <w:r w:rsidRPr="00006AA5">
        <w:rPr>
          <w:noProof/>
          <w:sz w:val="24"/>
        </w:rPr>
        <w:t>Hewan uji yang digunakan adalah mencit (</w:t>
      </w:r>
      <w:r w:rsidRPr="00006AA5">
        <w:rPr>
          <w:i/>
          <w:noProof/>
          <w:sz w:val="24"/>
        </w:rPr>
        <w:t>Musculus</w:t>
      </w:r>
      <w:r w:rsidRPr="00006AA5">
        <w:rPr>
          <w:noProof/>
          <w:sz w:val="24"/>
        </w:rPr>
        <w:t xml:space="preserve">) jantan galur Balb/c. Mencit yang digunakan sebanyak 35 ekor dengan masing-masing kelompok yaitu 5 ekor mencit per kelompok. Hewan yang telah disediakan kemudian diadaptasi selama 7 hari dengan pemberian pakan standar secara terkontrol setiap harinya dan air minum. </w:t>
      </w:r>
    </w:p>
    <w:p w14:paraId="2AD6D0E5" w14:textId="34077A9C" w:rsidR="00006AA5" w:rsidRPr="00006AA5" w:rsidRDefault="00006AA5" w:rsidP="00006AA5">
      <w:pPr>
        <w:pStyle w:val="ListParagraph"/>
        <w:jc w:val="both"/>
        <w:rPr>
          <w:b/>
          <w:noProof/>
          <w:sz w:val="24"/>
        </w:rPr>
      </w:pPr>
      <w:r>
        <w:rPr>
          <w:noProof/>
          <w:sz w:val="24"/>
        </w:rPr>
        <w:t xml:space="preserve">       </w:t>
      </w:r>
      <w:r w:rsidRPr="00006AA5">
        <w:rPr>
          <w:noProof/>
          <w:sz w:val="24"/>
        </w:rPr>
        <w:t>Sebelum pemeriksaan kadar glukosa darah, mencit dipuasakan selama 8-10 jam terlebih dahulu untuk pengukuran glukosa darah awal. Kemudian semua kelompok disuntikkan aloksan rute intraperitonial dengan dosis 150 mg/kg BB. Setelah 3 hari setelah penyuntikkan aloksan, dilakukan pemeriksaan kadar glukosa darah untuk melihat perubahan kadar glukosa darah. Setelah mencit hiperglikemik. Mencit dikatakan hiperglikemia dengan kadar glukosa darah &gt; 126 mg/dl dan &gt; 200 mg/dl. Dimana nilai normal gula darah Puasa (GDP) adalah 80-126 m/dl dan nilai gula darah sewaktu &lt; 200 mg/dl, selanjutnya pada masing-masing kelompok diberikan perlakuan dengan cara peroral. Jumlah mencit yang diujikan sebanyak 35 ekor, yang dikelompokkan menjadi 9 kelompok, masing-masing kelompok terdiri dari 5 ekor. Semua pemberian perlakuan uji dilakukan selama 7 hari dimana masing-masing kelompok diberi perlakuan sebagai berikut :</w:t>
      </w:r>
    </w:p>
    <w:p w14:paraId="7665C49B" w14:textId="11993060" w:rsidR="00006AA5" w:rsidRPr="002F43AE" w:rsidRDefault="00006AA5" w:rsidP="00006AA5">
      <w:pPr>
        <w:pStyle w:val="ListParagraph"/>
        <w:numPr>
          <w:ilvl w:val="0"/>
          <w:numId w:val="27"/>
        </w:numPr>
        <w:jc w:val="both"/>
        <w:rPr>
          <w:b/>
          <w:noProof/>
          <w:sz w:val="24"/>
          <w:szCs w:val="24"/>
        </w:rPr>
      </w:pPr>
      <w:r>
        <w:rPr>
          <w:bCs/>
          <w:noProof/>
          <w:sz w:val="24"/>
          <w:szCs w:val="24"/>
        </w:rPr>
        <w:t xml:space="preserve">Kelompok </w:t>
      </w:r>
      <w:r w:rsidR="002F43AE">
        <w:rPr>
          <w:bCs/>
          <w:noProof/>
          <w:sz w:val="24"/>
          <w:szCs w:val="24"/>
        </w:rPr>
        <w:t xml:space="preserve">1 </w:t>
      </w:r>
      <w:r>
        <w:rPr>
          <w:bCs/>
          <w:noProof/>
          <w:sz w:val="24"/>
          <w:szCs w:val="24"/>
        </w:rPr>
        <w:t>: Kontrol Normal</w:t>
      </w:r>
    </w:p>
    <w:p w14:paraId="3CE18DC5" w14:textId="7170647C" w:rsidR="002F43AE" w:rsidRPr="002F43AE" w:rsidRDefault="002F43AE" w:rsidP="00006AA5">
      <w:pPr>
        <w:pStyle w:val="ListParagraph"/>
        <w:numPr>
          <w:ilvl w:val="0"/>
          <w:numId w:val="27"/>
        </w:numPr>
        <w:jc w:val="both"/>
        <w:rPr>
          <w:b/>
          <w:noProof/>
          <w:sz w:val="24"/>
          <w:szCs w:val="24"/>
        </w:rPr>
      </w:pPr>
      <w:r>
        <w:rPr>
          <w:bCs/>
          <w:noProof/>
          <w:sz w:val="24"/>
          <w:szCs w:val="24"/>
        </w:rPr>
        <w:t>Kelompok 2 : Kontrol Negatif</w:t>
      </w:r>
    </w:p>
    <w:p w14:paraId="7FCBD337" w14:textId="648D7E31" w:rsidR="002F43AE" w:rsidRPr="002F43AE" w:rsidRDefault="002F43AE" w:rsidP="00006AA5">
      <w:pPr>
        <w:pStyle w:val="ListParagraph"/>
        <w:numPr>
          <w:ilvl w:val="0"/>
          <w:numId w:val="27"/>
        </w:numPr>
        <w:jc w:val="both"/>
        <w:rPr>
          <w:b/>
          <w:noProof/>
          <w:sz w:val="24"/>
          <w:szCs w:val="24"/>
        </w:rPr>
      </w:pPr>
      <w:r>
        <w:rPr>
          <w:bCs/>
          <w:noProof/>
          <w:sz w:val="24"/>
          <w:szCs w:val="24"/>
        </w:rPr>
        <w:t>Kelompok 3 : Dapagliflozin</w:t>
      </w:r>
    </w:p>
    <w:p w14:paraId="232F0CFF" w14:textId="7CC259A6" w:rsidR="002F43AE" w:rsidRPr="002F43AE" w:rsidRDefault="002F43AE" w:rsidP="00006AA5">
      <w:pPr>
        <w:pStyle w:val="ListParagraph"/>
        <w:numPr>
          <w:ilvl w:val="0"/>
          <w:numId w:val="27"/>
        </w:numPr>
        <w:jc w:val="both"/>
        <w:rPr>
          <w:b/>
          <w:noProof/>
          <w:sz w:val="24"/>
          <w:szCs w:val="24"/>
        </w:rPr>
      </w:pPr>
      <w:r>
        <w:rPr>
          <w:bCs/>
          <w:noProof/>
          <w:sz w:val="24"/>
          <w:szCs w:val="24"/>
        </w:rPr>
        <w:t>Kelompok 4 : Dapagliflozin dan metformin</w:t>
      </w:r>
    </w:p>
    <w:p w14:paraId="46F63B5A" w14:textId="059B9ADB" w:rsidR="002F43AE" w:rsidRPr="002F43AE" w:rsidRDefault="002F43AE" w:rsidP="00006AA5">
      <w:pPr>
        <w:pStyle w:val="ListParagraph"/>
        <w:numPr>
          <w:ilvl w:val="0"/>
          <w:numId w:val="27"/>
        </w:numPr>
        <w:jc w:val="both"/>
        <w:rPr>
          <w:b/>
          <w:noProof/>
          <w:sz w:val="24"/>
          <w:szCs w:val="24"/>
        </w:rPr>
      </w:pPr>
      <w:r>
        <w:rPr>
          <w:bCs/>
          <w:noProof/>
          <w:sz w:val="24"/>
          <w:szCs w:val="24"/>
        </w:rPr>
        <w:t>Kelompok 5 : Dapagliflozin dan Saxagliptin</w:t>
      </w:r>
    </w:p>
    <w:p w14:paraId="3D9076BC" w14:textId="79F2149F" w:rsidR="002F43AE" w:rsidRPr="002F43AE" w:rsidRDefault="002F43AE" w:rsidP="00006AA5">
      <w:pPr>
        <w:pStyle w:val="ListParagraph"/>
        <w:numPr>
          <w:ilvl w:val="0"/>
          <w:numId w:val="27"/>
        </w:numPr>
        <w:jc w:val="both"/>
        <w:rPr>
          <w:b/>
          <w:noProof/>
          <w:sz w:val="24"/>
          <w:szCs w:val="24"/>
        </w:rPr>
      </w:pPr>
      <w:r>
        <w:rPr>
          <w:bCs/>
          <w:noProof/>
          <w:sz w:val="24"/>
          <w:szCs w:val="24"/>
        </w:rPr>
        <w:t>Kelompok 6 : Dapagliflozin dan Glimepirid</w:t>
      </w:r>
    </w:p>
    <w:p w14:paraId="570E0382" w14:textId="2770AEBB" w:rsidR="002F43AE" w:rsidRPr="002F43AE" w:rsidRDefault="002F43AE" w:rsidP="00006AA5">
      <w:pPr>
        <w:pStyle w:val="ListParagraph"/>
        <w:numPr>
          <w:ilvl w:val="0"/>
          <w:numId w:val="27"/>
        </w:numPr>
        <w:jc w:val="both"/>
        <w:rPr>
          <w:b/>
          <w:noProof/>
          <w:sz w:val="24"/>
          <w:szCs w:val="24"/>
        </w:rPr>
      </w:pPr>
      <w:r>
        <w:rPr>
          <w:bCs/>
          <w:noProof/>
          <w:sz w:val="24"/>
          <w:szCs w:val="24"/>
        </w:rPr>
        <w:t>Kelompok 7 : Dapagliflozin, Metfotmin dan Saxagliptin</w:t>
      </w:r>
    </w:p>
    <w:p w14:paraId="28EBF8B4" w14:textId="6F53E2CE" w:rsidR="002F43AE" w:rsidRDefault="002F43AE" w:rsidP="002F43AE">
      <w:pPr>
        <w:pStyle w:val="ListParagraph"/>
        <w:numPr>
          <w:ilvl w:val="0"/>
          <w:numId w:val="25"/>
        </w:numPr>
        <w:jc w:val="both"/>
        <w:rPr>
          <w:b/>
          <w:noProof/>
          <w:sz w:val="24"/>
          <w:szCs w:val="24"/>
        </w:rPr>
      </w:pPr>
      <w:r>
        <w:rPr>
          <w:b/>
          <w:noProof/>
          <w:sz w:val="24"/>
          <w:szCs w:val="24"/>
        </w:rPr>
        <w:t>Analisis data</w:t>
      </w:r>
    </w:p>
    <w:p w14:paraId="5B01FE49" w14:textId="6B723857" w:rsidR="002F43AE" w:rsidRDefault="002F43AE" w:rsidP="002F43AE">
      <w:pPr>
        <w:ind w:firstLine="360"/>
        <w:jc w:val="both"/>
        <w:rPr>
          <w:sz w:val="24"/>
          <w:szCs w:val="24"/>
        </w:rPr>
      </w:pPr>
      <w:proofErr w:type="spellStart"/>
      <w:r w:rsidRPr="002F43AE">
        <w:rPr>
          <w:sz w:val="24"/>
          <w:szCs w:val="24"/>
        </w:rPr>
        <w:t>Untuk</w:t>
      </w:r>
      <w:proofErr w:type="spellEnd"/>
      <w:r w:rsidRPr="002F43AE">
        <w:rPr>
          <w:sz w:val="24"/>
          <w:szCs w:val="24"/>
        </w:rPr>
        <w:t xml:space="preserve"> </w:t>
      </w:r>
      <w:proofErr w:type="spellStart"/>
      <w:r w:rsidRPr="002F43AE">
        <w:rPr>
          <w:sz w:val="24"/>
          <w:szCs w:val="24"/>
        </w:rPr>
        <w:t>melihat</w:t>
      </w:r>
      <w:proofErr w:type="spellEnd"/>
      <w:r w:rsidRPr="002F43AE">
        <w:rPr>
          <w:sz w:val="24"/>
          <w:szCs w:val="24"/>
        </w:rPr>
        <w:t xml:space="preserve"> </w:t>
      </w:r>
      <w:proofErr w:type="spellStart"/>
      <w:r w:rsidRPr="002F43AE">
        <w:rPr>
          <w:sz w:val="24"/>
          <w:szCs w:val="24"/>
        </w:rPr>
        <w:t>perubahan</w:t>
      </w:r>
      <w:proofErr w:type="spellEnd"/>
      <w:r w:rsidRPr="002F43AE">
        <w:rPr>
          <w:sz w:val="24"/>
          <w:szCs w:val="24"/>
        </w:rPr>
        <w:t xml:space="preserve"> </w:t>
      </w:r>
      <w:proofErr w:type="spellStart"/>
      <w:r w:rsidRPr="002F43AE">
        <w:rPr>
          <w:sz w:val="24"/>
          <w:szCs w:val="24"/>
        </w:rPr>
        <w:t>kadar</w:t>
      </w:r>
      <w:proofErr w:type="spellEnd"/>
      <w:r w:rsidRPr="002F43AE">
        <w:rPr>
          <w:sz w:val="24"/>
          <w:szCs w:val="24"/>
        </w:rPr>
        <w:t xml:space="preserve"> </w:t>
      </w:r>
      <w:proofErr w:type="spellStart"/>
      <w:r w:rsidRPr="002F43AE">
        <w:rPr>
          <w:sz w:val="24"/>
          <w:szCs w:val="24"/>
        </w:rPr>
        <w:t>glukosa</w:t>
      </w:r>
      <w:proofErr w:type="spellEnd"/>
      <w:r w:rsidRPr="002F43AE">
        <w:rPr>
          <w:sz w:val="24"/>
          <w:szCs w:val="24"/>
        </w:rPr>
        <w:t xml:space="preserve"> </w:t>
      </w:r>
      <w:proofErr w:type="spellStart"/>
      <w:r w:rsidRPr="002F43AE">
        <w:rPr>
          <w:sz w:val="24"/>
          <w:szCs w:val="24"/>
        </w:rPr>
        <w:t>darah</w:t>
      </w:r>
      <w:proofErr w:type="spellEnd"/>
      <w:r w:rsidRPr="002F43AE">
        <w:rPr>
          <w:sz w:val="24"/>
          <w:szCs w:val="24"/>
        </w:rPr>
        <w:t xml:space="preserve"> </w:t>
      </w:r>
      <w:proofErr w:type="spellStart"/>
      <w:r w:rsidRPr="002F43AE">
        <w:rPr>
          <w:sz w:val="24"/>
          <w:szCs w:val="24"/>
        </w:rPr>
        <w:t>sebelum</w:t>
      </w:r>
      <w:proofErr w:type="spellEnd"/>
      <w:r w:rsidRPr="002F43AE">
        <w:rPr>
          <w:sz w:val="24"/>
          <w:szCs w:val="24"/>
        </w:rPr>
        <w:t xml:space="preserve"> dan </w:t>
      </w:r>
      <w:proofErr w:type="spellStart"/>
      <w:r w:rsidRPr="002F43AE">
        <w:rPr>
          <w:sz w:val="24"/>
          <w:szCs w:val="24"/>
        </w:rPr>
        <w:t>sesudah</w:t>
      </w:r>
      <w:proofErr w:type="spellEnd"/>
      <w:r w:rsidRPr="002F43AE">
        <w:rPr>
          <w:sz w:val="24"/>
          <w:szCs w:val="24"/>
        </w:rPr>
        <w:t xml:space="preserve"> </w:t>
      </w:r>
      <w:proofErr w:type="spellStart"/>
      <w:r w:rsidRPr="002F43AE">
        <w:rPr>
          <w:sz w:val="24"/>
          <w:szCs w:val="24"/>
        </w:rPr>
        <w:t>diberikan</w:t>
      </w:r>
      <w:proofErr w:type="spellEnd"/>
      <w:r w:rsidRPr="002F43AE">
        <w:rPr>
          <w:sz w:val="24"/>
          <w:szCs w:val="24"/>
        </w:rPr>
        <w:t xml:space="preserve"> </w:t>
      </w:r>
      <w:proofErr w:type="spellStart"/>
      <w:r w:rsidRPr="002F43AE">
        <w:rPr>
          <w:sz w:val="24"/>
          <w:szCs w:val="24"/>
        </w:rPr>
        <w:t>perlakukan</w:t>
      </w:r>
      <w:proofErr w:type="spellEnd"/>
      <w:r w:rsidRPr="002F43AE">
        <w:rPr>
          <w:sz w:val="24"/>
          <w:szCs w:val="24"/>
        </w:rPr>
        <w:t xml:space="preserve"> </w:t>
      </w:r>
      <w:proofErr w:type="spellStart"/>
      <w:r w:rsidRPr="002F43AE">
        <w:rPr>
          <w:sz w:val="24"/>
          <w:szCs w:val="24"/>
        </w:rPr>
        <w:t>selama</w:t>
      </w:r>
      <w:proofErr w:type="spellEnd"/>
      <w:r w:rsidRPr="002F43AE">
        <w:rPr>
          <w:sz w:val="24"/>
          <w:szCs w:val="24"/>
        </w:rPr>
        <w:t xml:space="preserve"> 7 </w:t>
      </w:r>
      <w:proofErr w:type="spellStart"/>
      <w:r w:rsidRPr="002F43AE">
        <w:rPr>
          <w:sz w:val="24"/>
          <w:szCs w:val="24"/>
        </w:rPr>
        <w:t>hari</w:t>
      </w:r>
      <w:proofErr w:type="spellEnd"/>
      <w:r w:rsidRPr="002F43AE">
        <w:rPr>
          <w:sz w:val="24"/>
          <w:szCs w:val="24"/>
        </w:rPr>
        <w:t xml:space="preserve"> </w:t>
      </w:r>
      <w:proofErr w:type="spellStart"/>
      <w:r w:rsidRPr="002F43AE">
        <w:rPr>
          <w:sz w:val="24"/>
          <w:szCs w:val="24"/>
        </w:rPr>
        <w:t>maka</w:t>
      </w:r>
      <w:proofErr w:type="spellEnd"/>
      <w:r w:rsidRPr="002F43AE">
        <w:rPr>
          <w:sz w:val="24"/>
          <w:szCs w:val="24"/>
        </w:rPr>
        <w:t xml:space="preserve"> </w:t>
      </w:r>
      <w:proofErr w:type="spellStart"/>
      <w:r w:rsidRPr="002F43AE">
        <w:rPr>
          <w:sz w:val="24"/>
          <w:szCs w:val="24"/>
        </w:rPr>
        <w:t>dilakukan</w:t>
      </w:r>
      <w:proofErr w:type="spellEnd"/>
      <w:r w:rsidRPr="002F43AE">
        <w:rPr>
          <w:sz w:val="24"/>
          <w:szCs w:val="24"/>
        </w:rPr>
        <w:t xml:space="preserve"> uji </w:t>
      </w:r>
      <w:r w:rsidRPr="002F43AE">
        <w:rPr>
          <w:i/>
          <w:sz w:val="24"/>
          <w:szCs w:val="24"/>
        </w:rPr>
        <w:t xml:space="preserve">Paired T-test. </w:t>
      </w:r>
      <w:proofErr w:type="spellStart"/>
      <w:r w:rsidRPr="002F43AE">
        <w:rPr>
          <w:sz w:val="24"/>
          <w:szCs w:val="24"/>
        </w:rPr>
        <w:t>Untuk</w:t>
      </w:r>
      <w:proofErr w:type="spellEnd"/>
      <w:r w:rsidRPr="002F43AE">
        <w:rPr>
          <w:sz w:val="24"/>
          <w:szCs w:val="24"/>
        </w:rPr>
        <w:t xml:space="preserve"> </w:t>
      </w:r>
      <w:proofErr w:type="spellStart"/>
      <w:r w:rsidRPr="002F43AE">
        <w:rPr>
          <w:sz w:val="24"/>
          <w:szCs w:val="24"/>
        </w:rPr>
        <w:t>menguji</w:t>
      </w:r>
      <w:proofErr w:type="spellEnd"/>
      <w:r w:rsidRPr="002F43AE">
        <w:rPr>
          <w:sz w:val="24"/>
          <w:szCs w:val="24"/>
        </w:rPr>
        <w:t xml:space="preserve"> </w:t>
      </w:r>
      <w:proofErr w:type="spellStart"/>
      <w:proofErr w:type="gramStart"/>
      <w:r w:rsidRPr="002F43AE">
        <w:rPr>
          <w:sz w:val="24"/>
          <w:szCs w:val="24"/>
        </w:rPr>
        <w:t>efek</w:t>
      </w:r>
      <w:proofErr w:type="spellEnd"/>
      <w:r w:rsidRPr="002F43AE">
        <w:rPr>
          <w:sz w:val="24"/>
          <w:szCs w:val="24"/>
        </w:rPr>
        <w:t xml:space="preserve">  </w:t>
      </w:r>
      <w:proofErr w:type="spellStart"/>
      <w:r w:rsidRPr="002F43AE">
        <w:rPr>
          <w:sz w:val="24"/>
          <w:szCs w:val="24"/>
        </w:rPr>
        <w:t>dari</w:t>
      </w:r>
      <w:proofErr w:type="spellEnd"/>
      <w:proofErr w:type="gramEnd"/>
      <w:r w:rsidRPr="002F43AE">
        <w:rPr>
          <w:sz w:val="24"/>
          <w:szCs w:val="24"/>
        </w:rPr>
        <w:t xml:space="preserve"> </w:t>
      </w:r>
      <w:proofErr w:type="spellStart"/>
      <w:r w:rsidRPr="002F43AE">
        <w:rPr>
          <w:sz w:val="24"/>
          <w:szCs w:val="24"/>
        </w:rPr>
        <w:t>ke</w:t>
      </w:r>
      <w:proofErr w:type="spellEnd"/>
      <w:r w:rsidRPr="002F43AE">
        <w:rPr>
          <w:sz w:val="24"/>
          <w:szCs w:val="24"/>
        </w:rPr>
        <w:t xml:space="preserve">-lima </w:t>
      </w:r>
      <w:proofErr w:type="spellStart"/>
      <w:r w:rsidRPr="002F43AE">
        <w:rPr>
          <w:sz w:val="24"/>
          <w:szCs w:val="24"/>
        </w:rPr>
        <w:t>kelompok</w:t>
      </w:r>
      <w:proofErr w:type="spellEnd"/>
      <w:r w:rsidRPr="002F43AE">
        <w:rPr>
          <w:sz w:val="24"/>
          <w:szCs w:val="24"/>
        </w:rPr>
        <w:t xml:space="preserve"> </w:t>
      </w:r>
      <w:proofErr w:type="spellStart"/>
      <w:r w:rsidRPr="002F43AE">
        <w:rPr>
          <w:sz w:val="24"/>
          <w:szCs w:val="24"/>
        </w:rPr>
        <w:t>secara</w:t>
      </w:r>
      <w:proofErr w:type="spellEnd"/>
      <w:r w:rsidRPr="002F43AE">
        <w:rPr>
          <w:sz w:val="24"/>
          <w:szCs w:val="24"/>
        </w:rPr>
        <w:t xml:space="preserve"> </w:t>
      </w:r>
      <w:proofErr w:type="spellStart"/>
      <w:r w:rsidRPr="002F43AE">
        <w:rPr>
          <w:sz w:val="24"/>
          <w:szCs w:val="24"/>
        </w:rPr>
        <w:t>bersamaan</w:t>
      </w:r>
      <w:proofErr w:type="spellEnd"/>
      <w:r w:rsidRPr="002F43AE">
        <w:rPr>
          <w:sz w:val="24"/>
          <w:szCs w:val="24"/>
        </w:rPr>
        <w:t xml:space="preserve"> </w:t>
      </w:r>
      <w:proofErr w:type="spellStart"/>
      <w:r w:rsidRPr="002F43AE">
        <w:rPr>
          <w:sz w:val="24"/>
          <w:szCs w:val="24"/>
        </w:rPr>
        <w:t>maka</w:t>
      </w:r>
      <w:proofErr w:type="spellEnd"/>
      <w:r w:rsidRPr="002F43AE">
        <w:rPr>
          <w:sz w:val="24"/>
          <w:szCs w:val="24"/>
        </w:rPr>
        <w:t xml:space="preserve"> </w:t>
      </w:r>
      <w:proofErr w:type="spellStart"/>
      <w:r w:rsidRPr="002F43AE">
        <w:rPr>
          <w:sz w:val="24"/>
          <w:szCs w:val="24"/>
        </w:rPr>
        <w:t>dilakukan</w:t>
      </w:r>
      <w:proofErr w:type="spellEnd"/>
      <w:r w:rsidRPr="002F43AE">
        <w:rPr>
          <w:sz w:val="24"/>
          <w:szCs w:val="24"/>
        </w:rPr>
        <w:t xml:space="preserve"> uji </w:t>
      </w:r>
      <w:r w:rsidRPr="002F43AE">
        <w:rPr>
          <w:i/>
          <w:sz w:val="24"/>
          <w:szCs w:val="24"/>
        </w:rPr>
        <w:t xml:space="preserve">One way </w:t>
      </w:r>
      <w:proofErr w:type="spellStart"/>
      <w:r w:rsidRPr="002F43AE">
        <w:rPr>
          <w:i/>
          <w:sz w:val="24"/>
          <w:szCs w:val="24"/>
        </w:rPr>
        <w:t>Anova</w:t>
      </w:r>
      <w:proofErr w:type="spellEnd"/>
      <w:r w:rsidRPr="002F43AE">
        <w:rPr>
          <w:sz w:val="24"/>
          <w:szCs w:val="24"/>
        </w:rPr>
        <w:t xml:space="preserve">. Uji </w:t>
      </w:r>
      <w:proofErr w:type="spellStart"/>
      <w:r w:rsidRPr="002F43AE">
        <w:rPr>
          <w:sz w:val="24"/>
          <w:szCs w:val="24"/>
        </w:rPr>
        <w:t>kesesuaian</w:t>
      </w:r>
      <w:proofErr w:type="spellEnd"/>
      <w:r w:rsidRPr="002F43AE">
        <w:rPr>
          <w:sz w:val="24"/>
          <w:szCs w:val="24"/>
        </w:rPr>
        <w:t xml:space="preserve"> </w:t>
      </w:r>
      <w:proofErr w:type="spellStart"/>
      <w:r w:rsidRPr="002F43AE">
        <w:rPr>
          <w:sz w:val="24"/>
          <w:szCs w:val="24"/>
        </w:rPr>
        <w:t>antara</w:t>
      </w:r>
      <w:proofErr w:type="spellEnd"/>
      <w:r w:rsidRPr="002F43AE">
        <w:rPr>
          <w:sz w:val="24"/>
          <w:szCs w:val="24"/>
        </w:rPr>
        <w:t xml:space="preserve"> </w:t>
      </w:r>
      <w:proofErr w:type="spellStart"/>
      <w:r w:rsidRPr="002F43AE">
        <w:rPr>
          <w:sz w:val="24"/>
          <w:szCs w:val="24"/>
        </w:rPr>
        <w:t>fraksi</w:t>
      </w:r>
      <w:proofErr w:type="spellEnd"/>
      <w:r w:rsidRPr="002F43AE">
        <w:rPr>
          <w:sz w:val="24"/>
          <w:szCs w:val="24"/>
        </w:rPr>
        <w:t xml:space="preserve"> dan </w:t>
      </w:r>
      <w:proofErr w:type="spellStart"/>
      <w:r w:rsidRPr="002F43AE">
        <w:rPr>
          <w:sz w:val="24"/>
          <w:szCs w:val="24"/>
        </w:rPr>
        <w:t>obat</w:t>
      </w:r>
      <w:proofErr w:type="spellEnd"/>
      <w:r w:rsidRPr="002F43AE">
        <w:rPr>
          <w:sz w:val="24"/>
          <w:szCs w:val="24"/>
        </w:rPr>
        <w:t xml:space="preserve"> </w:t>
      </w:r>
      <w:proofErr w:type="spellStart"/>
      <w:r w:rsidRPr="002F43AE">
        <w:rPr>
          <w:sz w:val="24"/>
          <w:szCs w:val="24"/>
        </w:rPr>
        <w:t>dilakukan</w:t>
      </w:r>
      <w:proofErr w:type="spellEnd"/>
      <w:r w:rsidRPr="002F43AE">
        <w:rPr>
          <w:sz w:val="24"/>
          <w:szCs w:val="24"/>
        </w:rPr>
        <w:t xml:space="preserve"> </w:t>
      </w:r>
      <w:proofErr w:type="spellStart"/>
      <w:r w:rsidRPr="002F43AE">
        <w:rPr>
          <w:sz w:val="24"/>
          <w:szCs w:val="24"/>
        </w:rPr>
        <w:t>dengan</w:t>
      </w:r>
      <w:proofErr w:type="spellEnd"/>
      <w:r w:rsidRPr="002F43AE">
        <w:rPr>
          <w:sz w:val="24"/>
          <w:szCs w:val="24"/>
        </w:rPr>
        <w:t xml:space="preserve"> </w:t>
      </w:r>
      <w:r w:rsidRPr="002F43AE">
        <w:rPr>
          <w:i/>
          <w:sz w:val="24"/>
          <w:szCs w:val="24"/>
        </w:rPr>
        <w:t>LSD post Hoc Test</w:t>
      </w:r>
      <w:r w:rsidRPr="002F43AE">
        <w:rPr>
          <w:sz w:val="24"/>
          <w:szCs w:val="24"/>
        </w:rPr>
        <w:t xml:space="preserve">. Data </w:t>
      </w:r>
      <w:proofErr w:type="spellStart"/>
      <w:r w:rsidRPr="002F43AE">
        <w:rPr>
          <w:sz w:val="24"/>
          <w:szCs w:val="24"/>
        </w:rPr>
        <w:t>statistik</w:t>
      </w:r>
      <w:proofErr w:type="spellEnd"/>
      <w:r w:rsidRPr="002F43AE">
        <w:rPr>
          <w:sz w:val="24"/>
          <w:szCs w:val="24"/>
        </w:rPr>
        <w:t xml:space="preserve"> data yang </w:t>
      </w:r>
      <w:proofErr w:type="spellStart"/>
      <w:r w:rsidRPr="002F43AE">
        <w:rPr>
          <w:sz w:val="24"/>
          <w:szCs w:val="24"/>
        </w:rPr>
        <w:t>signifikan</w:t>
      </w:r>
      <w:proofErr w:type="spellEnd"/>
      <w:r w:rsidRPr="002F43AE">
        <w:rPr>
          <w:sz w:val="24"/>
          <w:szCs w:val="24"/>
        </w:rPr>
        <w:t xml:space="preserve"> </w:t>
      </w:r>
      <w:proofErr w:type="spellStart"/>
      <w:r w:rsidRPr="002F43AE">
        <w:rPr>
          <w:sz w:val="24"/>
          <w:szCs w:val="24"/>
        </w:rPr>
        <w:t>diasumsikan</w:t>
      </w:r>
      <w:proofErr w:type="spellEnd"/>
      <w:r w:rsidRPr="002F43AE">
        <w:rPr>
          <w:sz w:val="24"/>
          <w:szCs w:val="24"/>
        </w:rPr>
        <w:t xml:space="preserve"> </w:t>
      </w:r>
      <w:proofErr w:type="spellStart"/>
      <w:r w:rsidRPr="002F43AE">
        <w:rPr>
          <w:sz w:val="24"/>
          <w:szCs w:val="24"/>
        </w:rPr>
        <w:t>jika</w:t>
      </w:r>
      <w:proofErr w:type="spellEnd"/>
      <w:r w:rsidRPr="002F43AE">
        <w:rPr>
          <w:sz w:val="24"/>
          <w:szCs w:val="24"/>
        </w:rPr>
        <w:t xml:space="preserve"> </w:t>
      </w:r>
      <w:proofErr w:type="spellStart"/>
      <w:r w:rsidRPr="002F43AE">
        <w:rPr>
          <w:sz w:val="24"/>
          <w:szCs w:val="24"/>
        </w:rPr>
        <w:t>nilai</w:t>
      </w:r>
      <w:proofErr w:type="spellEnd"/>
      <w:r w:rsidRPr="002F43AE">
        <w:rPr>
          <w:sz w:val="24"/>
          <w:szCs w:val="24"/>
        </w:rPr>
        <w:t xml:space="preserve"> p &lt; 0,05.</w:t>
      </w:r>
    </w:p>
    <w:p w14:paraId="17E84B55" w14:textId="77777777" w:rsidR="002F43AE" w:rsidRPr="002F43AE" w:rsidRDefault="002F43AE" w:rsidP="002F43AE">
      <w:pPr>
        <w:ind w:firstLine="360"/>
        <w:jc w:val="both"/>
        <w:rPr>
          <w:sz w:val="24"/>
          <w:szCs w:val="24"/>
        </w:rPr>
      </w:pPr>
    </w:p>
    <w:p w14:paraId="3B792F17" w14:textId="737AF220" w:rsidR="00DF5934" w:rsidRDefault="00DF5934" w:rsidP="00C647FE">
      <w:pPr>
        <w:pStyle w:val="Heading1"/>
        <w:spacing w:before="0" w:after="0"/>
      </w:pPr>
      <w:r w:rsidRPr="00117C31">
        <w:t>HASIL DAN PEMBAHASAN</w:t>
      </w:r>
      <w:r w:rsidR="002A16EB">
        <w:t xml:space="preserve"> (RESULT AND DISCUSSION)</w:t>
      </w:r>
    </w:p>
    <w:p w14:paraId="4EA7A9B0" w14:textId="0379269E" w:rsidR="002F43AE" w:rsidRPr="002F43AE" w:rsidRDefault="002F43AE" w:rsidP="002F43AE">
      <w:pPr>
        <w:tabs>
          <w:tab w:val="left" w:pos="426"/>
        </w:tabs>
        <w:jc w:val="both"/>
        <w:rPr>
          <w:sz w:val="24"/>
          <w:szCs w:val="24"/>
        </w:rPr>
      </w:pPr>
      <w:r>
        <w:rPr>
          <w:sz w:val="24"/>
          <w:szCs w:val="24"/>
        </w:rPr>
        <w:tab/>
      </w:r>
      <w:r w:rsidRPr="002F43AE">
        <w:rPr>
          <w:rFonts w:eastAsia="Cambria" w:cs="Cambria"/>
          <w:sz w:val="24"/>
          <w:szCs w:val="24"/>
        </w:rPr>
        <w:t xml:space="preserve">Hasil </w:t>
      </w:r>
      <w:proofErr w:type="spellStart"/>
      <w:r w:rsidRPr="002F43AE">
        <w:rPr>
          <w:rFonts w:eastAsia="Cambria" w:cs="Cambria"/>
          <w:sz w:val="24"/>
          <w:szCs w:val="24"/>
        </w:rPr>
        <w:t>penelitian</w:t>
      </w:r>
      <w:proofErr w:type="spellEnd"/>
      <w:r w:rsidRPr="002F43AE">
        <w:rPr>
          <w:rFonts w:eastAsia="Cambria" w:cs="Cambria"/>
          <w:sz w:val="24"/>
          <w:szCs w:val="24"/>
        </w:rPr>
        <w:t xml:space="preserve"> </w:t>
      </w:r>
      <w:proofErr w:type="spellStart"/>
      <w:r w:rsidRPr="002F43AE">
        <w:rPr>
          <w:rFonts w:eastAsia="Cambria" w:cs="Cambria"/>
          <w:sz w:val="24"/>
          <w:szCs w:val="24"/>
        </w:rPr>
        <w:t>menunjukkan</w:t>
      </w:r>
      <w:proofErr w:type="spellEnd"/>
      <w:r w:rsidRPr="002F43AE">
        <w:rPr>
          <w:rFonts w:eastAsia="Cambria" w:cs="Cambria"/>
          <w:sz w:val="24"/>
          <w:szCs w:val="24"/>
        </w:rPr>
        <w:t xml:space="preserve"> </w:t>
      </w:r>
      <w:proofErr w:type="spellStart"/>
      <w:r w:rsidRPr="002F43AE">
        <w:rPr>
          <w:rFonts w:eastAsia="Cambria" w:cs="Cambria"/>
          <w:sz w:val="24"/>
          <w:szCs w:val="24"/>
        </w:rPr>
        <w:t>bahwa</w:t>
      </w:r>
      <w:proofErr w:type="spellEnd"/>
      <w:r w:rsidRPr="002F43AE">
        <w:rPr>
          <w:rFonts w:eastAsia="Cambria" w:cs="Cambria"/>
          <w:sz w:val="24"/>
          <w:szCs w:val="24"/>
        </w:rPr>
        <w:t xml:space="preserve"> </w:t>
      </w:r>
      <w:proofErr w:type="spellStart"/>
      <w:r w:rsidRPr="002F43AE">
        <w:rPr>
          <w:rFonts w:eastAsia="Cambria" w:cs="Cambria"/>
          <w:sz w:val="24"/>
          <w:szCs w:val="24"/>
        </w:rPr>
        <w:t>hewan</w:t>
      </w:r>
      <w:proofErr w:type="spellEnd"/>
      <w:r w:rsidRPr="002F43AE">
        <w:rPr>
          <w:rFonts w:eastAsia="Cambria" w:cs="Cambria"/>
          <w:sz w:val="24"/>
          <w:szCs w:val="24"/>
        </w:rPr>
        <w:t xml:space="preserve"> uji </w:t>
      </w:r>
      <w:proofErr w:type="spellStart"/>
      <w:r w:rsidRPr="002F43AE">
        <w:rPr>
          <w:rFonts w:eastAsia="Cambria" w:cs="Cambria"/>
          <w:sz w:val="24"/>
          <w:szCs w:val="24"/>
        </w:rPr>
        <w:t>yaitu</w:t>
      </w:r>
      <w:proofErr w:type="spellEnd"/>
      <w:r w:rsidRPr="002F43AE">
        <w:rPr>
          <w:rFonts w:eastAsia="Cambria" w:cs="Cambria"/>
          <w:sz w:val="24"/>
          <w:szCs w:val="24"/>
        </w:rPr>
        <w:t xml:space="preserve"> </w:t>
      </w:r>
      <w:proofErr w:type="spellStart"/>
      <w:r w:rsidRPr="002F43AE">
        <w:rPr>
          <w:rFonts w:eastAsia="Cambria" w:cs="Cambria"/>
          <w:sz w:val="24"/>
          <w:szCs w:val="24"/>
        </w:rPr>
        <w:t>mencit</w:t>
      </w:r>
      <w:proofErr w:type="spellEnd"/>
      <w:r w:rsidRPr="002F43AE">
        <w:rPr>
          <w:rFonts w:eastAsia="Cambria" w:cs="Cambria"/>
          <w:sz w:val="24"/>
          <w:szCs w:val="24"/>
        </w:rPr>
        <w:t xml:space="preserve"> yang </w:t>
      </w:r>
      <w:proofErr w:type="spellStart"/>
      <w:r w:rsidRPr="002F43AE">
        <w:rPr>
          <w:rFonts w:eastAsia="Cambria" w:cs="Cambria"/>
          <w:sz w:val="24"/>
          <w:szCs w:val="24"/>
        </w:rPr>
        <w:t>diuji</w:t>
      </w:r>
      <w:proofErr w:type="spellEnd"/>
      <w:r w:rsidRPr="002F43AE">
        <w:rPr>
          <w:rFonts w:eastAsia="Cambria" w:cs="Cambria"/>
          <w:sz w:val="24"/>
          <w:szCs w:val="24"/>
        </w:rPr>
        <w:t xml:space="preserve"> </w:t>
      </w:r>
      <w:proofErr w:type="spellStart"/>
      <w:r w:rsidRPr="002F43AE">
        <w:rPr>
          <w:rFonts w:eastAsia="Cambria" w:cs="Cambria"/>
          <w:sz w:val="24"/>
          <w:szCs w:val="24"/>
        </w:rPr>
        <w:t>aloksan</w:t>
      </w:r>
      <w:proofErr w:type="spellEnd"/>
      <w:r w:rsidRPr="002F43AE">
        <w:rPr>
          <w:rFonts w:eastAsia="Cambria" w:cs="Cambria"/>
          <w:sz w:val="24"/>
          <w:szCs w:val="24"/>
        </w:rPr>
        <w:t xml:space="preserve"> </w:t>
      </w:r>
      <w:proofErr w:type="spellStart"/>
      <w:r w:rsidRPr="002F43AE">
        <w:rPr>
          <w:rFonts w:eastAsia="Cambria" w:cs="Cambria"/>
          <w:sz w:val="24"/>
          <w:szCs w:val="24"/>
        </w:rPr>
        <w:t>mengalami</w:t>
      </w:r>
      <w:proofErr w:type="spellEnd"/>
      <w:r w:rsidRPr="002F43AE">
        <w:rPr>
          <w:rFonts w:eastAsia="Cambria" w:cs="Cambria"/>
          <w:sz w:val="24"/>
          <w:szCs w:val="24"/>
        </w:rPr>
        <w:t xml:space="preserve"> </w:t>
      </w:r>
      <w:proofErr w:type="spellStart"/>
      <w:r w:rsidRPr="002F43AE">
        <w:rPr>
          <w:rFonts w:eastAsia="Cambria" w:cs="Cambria"/>
          <w:sz w:val="24"/>
          <w:szCs w:val="24"/>
        </w:rPr>
        <w:t>hiperglikemia</w:t>
      </w:r>
      <w:proofErr w:type="spellEnd"/>
      <w:r w:rsidRPr="002F43AE">
        <w:rPr>
          <w:rFonts w:eastAsia="Cambria" w:cs="Cambria"/>
          <w:sz w:val="24"/>
          <w:szCs w:val="24"/>
        </w:rPr>
        <w:t xml:space="preserve">. </w:t>
      </w:r>
      <w:proofErr w:type="spellStart"/>
      <w:r w:rsidRPr="002F43AE">
        <w:rPr>
          <w:rFonts w:eastAsia="Cambria" w:cs="Cambria"/>
          <w:sz w:val="24"/>
          <w:szCs w:val="24"/>
        </w:rPr>
        <w:t>Aloksan</w:t>
      </w:r>
      <w:proofErr w:type="spellEnd"/>
      <w:r w:rsidRPr="002F43AE">
        <w:rPr>
          <w:rFonts w:eastAsia="Cambria" w:cs="Cambria"/>
          <w:sz w:val="24"/>
          <w:szCs w:val="24"/>
        </w:rPr>
        <w:t xml:space="preserve"> </w:t>
      </w:r>
      <w:proofErr w:type="spellStart"/>
      <w:r w:rsidRPr="002F43AE">
        <w:rPr>
          <w:rFonts w:eastAsia="Cambria" w:cs="Cambria"/>
          <w:sz w:val="24"/>
          <w:szCs w:val="24"/>
        </w:rPr>
        <w:t>adalah</w:t>
      </w:r>
      <w:proofErr w:type="spellEnd"/>
      <w:r w:rsidRPr="002F43AE">
        <w:rPr>
          <w:rFonts w:eastAsia="Cambria" w:cs="Cambria"/>
          <w:sz w:val="24"/>
          <w:szCs w:val="24"/>
        </w:rPr>
        <w:t xml:space="preserve"> </w:t>
      </w:r>
      <w:proofErr w:type="spellStart"/>
      <w:r w:rsidRPr="002F43AE">
        <w:rPr>
          <w:rFonts w:eastAsia="Cambria" w:cs="Cambria"/>
          <w:sz w:val="24"/>
          <w:szCs w:val="24"/>
        </w:rPr>
        <w:t>bahan</w:t>
      </w:r>
      <w:proofErr w:type="spellEnd"/>
      <w:r w:rsidRPr="002F43AE">
        <w:rPr>
          <w:rFonts w:eastAsia="Cambria" w:cs="Cambria"/>
          <w:sz w:val="24"/>
          <w:szCs w:val="24"/>
        </w:rPr>
        <w:t xml:space="preserve"> </w:t>
      </w:r>
      <w:proofErr w:type="spellStart"/>
      <w:r w:rsidRPr="002F43AE">
        <w:rPr>
          <w:rFonts w:eastAsia="Cambria" w:cs="Cambria"/>
          <w:sz w:val="24"/>
          <w:szCs w:val="24"/>
        </w:rPr>
        <w:t>kimia</w:t>
      </w:r>
      <w:proofErr w:type="spellEnd"/>
      <w:r w:rsidRPr="002F43AE">
        <w:rPr>
          <w:rFonts w:eastAsia="Cambria" w:cs="Cambria"/>
          <w:sz w:val="24"/>
          <w:szCs w:val="24"/>
        </w:rPr>
        <w:t xml:space="preserve"> </w:t>
      </w:r>
      <w:proofErr w:type="spellStart"/>
      <w:r w:rsidRPr="002F43AE">
        <w:rPr>
          <w:rFonts w:eastAsia="Cambria" w:cs="Cambria"/>
          <w:sz w:val="24"/>
          <w:szCs w:val="24"/>
        </w:rPr>
        <w:t>pemicu</w:t>
      </w:r>
      <w:proofErr w:type="spellEnd"/>
      <w:r w:rsidRPr="002F43AE">
        <w:rPr>
          <w:rFonts w:eastAsia="Cambria" w:cs="Cambria"/>
          <w:sz w:val="24"/>
          <w:szCs w:val="24"/>
        </w:rPr>
        <w:t xml:space="preserve"> diabetes yang paling </w:t>
      </w:r>
      <w:proofErr w:type="spellStart"/>
      <w:r w:rsidRPr="002F43AE">
        <w:rPr>
          <w:rFonts w:eastAsia="Cambria" w:cs="Cambria"/>
          <w:sz w:val="24"/>
          <w:szCs w:val="24"/>
        </w:rPr>
        <w:t>umum</w:t>
      </w:r>
      <w:proofErr w:type="spellEnd"/>
      <w:r w:rsidRPr="002F43AE">
        <w:rPr>
          <w:rFonts w:eastAsia="Cambria" w:cs="Cambria"/>
          <w:sz w:val="24"/>
          <w:szCs w:val="24"/>
        </w:rPr>
        <w:t xml:space="preserve"> </w:t>
      </w:r>
      <w:proofErr w:type="spellStart"/>
      <w:r w:rsidRPr="002F43AE">
        <w:rPr>
          <w:rFonts w:eastAsia="Cambria" w:cs="Cambria"/>
          <w:sz w:val="24"/>
          <w:szCs w:val="24"/>
        </w:rPr>
        <w:t>digunakan</w:t>
      </w:r>
      <w:proofErr w:type="spellEnd"/>
      <w:r w:rsidRPr="002F43AE">
        <w:rPr>
          <w:rFonts w:eastAsia="Cambria" w:cs="Cambria"/>
          <w:sz w:val="24"/>
          <w:szCs w:val="24"/>
        </w:rPr>
        <w:t xml:space="preserve"> </w:t>
      </w:r>
      <w:proofErr w:type="spellStart"/>
      <w:r w:rsidRPr="002F43AE">
        <w:rPr>
          <w:rFonts w:eastAsia="Cambria" w:cs="Cambria"/>
          <w:sz w:val="24"/>
          <w:szCs w:val="24"/>
        </w:rPr>
        <w:t>dalam</w:t>
      </w:r>
      <w:proofErr w:type="spellEnd"/>
      <w:r w:rsidRPr="002F43AE">
        <w:rPr>
          <w:rFonts w:eastAsia="Cambria" w:cs="Cambria"/>
          <w:sz w:val="24"/>
          <w:szCs w:val="24"/>
        </w:rPr>
        <w:t xml:space="preserve"> </w:t>
      </w:r>
      <w:proofErr w:type="spellStart"/>
      <w:r w:rsidRPr="002F43AE">
        <w:rPr>
          <w:rFonts w:eastAsia="Cambria" w:cs="Cambria"/>
          <w:sz w:val="24"/>
          <w:szCs w:val="24"/>
        </w:rPr>
        <w:t>penelitian</w:t>
      </w:r>
      <w:proofErr w:type="spellEnd"/>
      <w:r w:rsidRPr="002F43AE">
        <w:rPr>
          <w:rFonts w:eastAsia="Cambria" w:cs="Cambria"/>
          <w:sz w:val="24"/>
          <w:szCs w:val="24"/>
        </w:rPr>
        <w:t xml:space="preserve"> diabetes. </w:t>
      </w:r>
      <w:proofErr w:type="spellStart"/>
      <w:r w:rsidRPr="002F43AE">
        <w:rPr>
          <w:rFonts w:eastAsia="Cambria" w:cs="Cambria"/>
          <w:sz w:val="24"/>
          <w:szCs w:val="24"/>
        </w:rPr>
        <w:t>Aloksan</w:t>
      </w:r>
      <w:proofErr w:type="spellEnd"/>
      <w:r w:rsidRPr="002F43AE">
        <w:rPr>
          <w:rFonts w:eastAsia="Cambria" w:cs="Cambria"/>
          <w:sz w:val="24"/>
          <w:szCs w:val="24"/>
        </w:rPr>
        <w:t xml:space="preserve"> </w:t>
      </w:r>
      <w:proofErr w:type="spellStart"/>
      <w:r w:rsidRPr="002F43AE">
        <w:rPr>
          <w:rFonts w:eastAsia="Cambria" w:cs="Cambria"/>
          <w:sz w:val="24"/>
          <w:szCs w:val="24"/>
        </w:rPr>
        <w:t>memiliki</w:t>
      </w:r>
      <w:proofErr w:type="spellEnd"/>
      <w:r w:rsidRPr="002F43AE">
        <w:rPr>
          <w:rFonts w:eastAsia="Cambria" w:cs="Cambria"/>
          <w:sz w:val="24"/>
          <w:szCs w:val="24"/>
        </w:rPr>
        <w:t xml:space="preserve"> </w:t>
      </w:r>
      <w:proofErr w:type="spellStart"/>
      <w:r w:rsidRPr="002F43AE">
        <w:rPr>
          <w:rFonts w:eastAsia="Cambria" w:cs="Cambria"/>
          <w:sz w:val="24"/>
          <w:szCs w:val="24"/>
        </w:rPr>
        <w:t>bentuk</w:t>
      </w:r>
      <w:proofErr w:type="spellEnd"/>
      <w:r w:rsidRPr="002F43AE">
        <w:rPr>
          <w:rFonts w:eastAsia="Cambria" w:cs="Cambria"/>
          <w:sz w:val="24"/>
          <w:szCs w:val="24"/>
        </w:rPr>
        <w:t xml:space="preserve"> </w:t>
      </w:r>
      <w:proofErr w:type="spellStart"/>
      <w:r w:rsidRPr="002F43AE">
        <w:rPr>
          <w:rFonts w:eastAsia="Cambria" w:cs="Cambria"/>
          <w:sz w:val="24"/>
          <w:szCs w:val="24"/>
        </w:rPr>
        <w:t>molekul</w:t>
      </w:r>
      <w:proofErr w:type="spellEnd"/>
      <w:r w:rsidRPr="002F43AE">
        <w:rPr>
          <w:rFonts w:eastAsia="Cambria" w:cs="Cambria"/>
          <w:sz w:val="24"/>
          <w:szCs w:val="24"/>
        </w:rPr>
        <w:t xml:space="preserve"> yang </w:t>
      </w:r>
      <w:proofErr w:type="spellStart"/>
      <w:r w:rsidRPr="002F43AE">
        <w:rPr>
          <w:rFonts w:eastAsia="Cambria" w:cs="Cambria"/>
          <w:sz w:val="24"/>
          <w:szCs w:val="24"/>
        </w:rPr>
        <w:t>mirip</w:t>
      </w:r>
      <w:proofErr w:type="spellEnd"/>
      <w:r w:rsidRPr="002F43AE">
        <w:rPr>
          <w:rFonts w:eastAsia="Cambria" w:cs="Cambria"/>
          <w:sz w:val="24"/>
          <w:szCs w:val="24"/>
        </w:rPr>
        <w:t xml:space="preserve"> </w:t>
      </w:r>
      <w:proofErr w:type="spellStart"/>
      <w:r w:rsidRPr="002F43AE">
        <w:rPr>
          <w:rFonts w:eastAsia="Cambria" w:cs="Cambria"/>
          <w:sz w:val="24"/>
          <w:szCs w:val="24"/>
        </w:rPr>
        <w:t>dengan</w:t>
      </w:r>
      <w:proofErr w:type="spellEnd"/>
      <w:r w:rsidRPr="002F43AE">
        <w:rPr>
          <w:rFonts w:eastAsia="Cambria" w:cs="Cambria"/>
          <w:sz w:val="24"/>
          <w:szCs w:val="24"/>
        </w:rPr>
        <w:t xml:space="preserve"> </w:t>
      </w:r>
      <w:proofErr w:type="spellStart"/>
      <w:r w:rsidRPr="002F43AE">
        <w:rPr>
          <w:rFonts w:eastAsia="Cambria" w:cs="Cambria"/>
          <w:sz w:val="24"/>
          <w:szCs w:val="24"/>
        </w:rPr>
        <w:t>glukosa</w:t>
      </w:r>
      <w:proofErr w:type="spellEnd"/>
      <w:r w:rsidRPr="002F43AE">
        <w:rPr>
          <w:rFonts w:eastAsia="Cambria" w:cs="Cambria"/>
          <w:sz w:val="24"/>
          <w:szCs w:val="24"/>
        </w:rPr>
        <w:t xml:space="preserve"> (</w:t>
      </w:r>
      <w:proofErr w:type="spellStart"/>
      <w:r w:rsidRPr="002F43AE">
        <w:rPr>
          <w:rFonts w:eastAsia="Cambria" w:cs="Cambria"/>
          <w:sz w:val="24"/>
          <w:szCs w:val="24"/>
        </w:rPr>
        <w:t>glukomimetik</w:t>
      </w:r>
      <w:proofErr w:type="spellEnd"/>
      <w:r w:rsidRPr="002F43AE">
        <w:rPr>
          <w:rFonts w:eastAsia="Cambria" w:cs="Cambria"/>
          <w:sz w:val="24"/>
          <w:szCs w:val="24"/>
        </w:rPr>
        <w:t xml:space="preserve">). Oleh </w:t>
      </w:r>
      <w:proofErr w:type="spellStart"/>
      <w:r w:rsidRPr="002F43AE">
        <w:rPr>
          <w:rFonts w:eastAsia="Cambria" w:cs="Cambria"/>
          <w:sz w:val="24"/>
          <w:szCs w:val="24"/>
        </w:rPr>
        <w:t>karena</w:t>
      </w:r>
      <w:proofErr w:type="spellEnd"/>
      <w:r w:rsidRPr="002F43AE">
        <w:rPr>
          <w:rFonts w:eastAsia="Cambria" w:cs="Cambria"/>
          <w:sz w:val="24"/>
          <w:szCs w:val="24"/>
        </w:rPr>
        <w:t xml:space="preserve"> </w:t>
      </w:r>
      <w:proofErr w:type="spellStart"/>
      <w:r w:rsidRPr="002F43AE">
        <w:rPr>
          <w:rFonts w:eastAsia="Cambria" w:cs="Cambria"/>
          <w:sz w:val="24"/>
          <w:szCs w:val="24"/>
        </w:rPr>
        <w:t>itu</w:t>
      </w:r>
      <w:proofErr w:type="spellEnd"/>
      <w:r w:rsidRPr="002F43AE">
        <w:rPr>
          <w:rFonts w:eastAsia="Cambria" w:cs="Cambria"/>
          <w:sz w:val="24"/>
          <w:szCs w:val="24"/>
        </w:rPr>
        <w:t xml:space="preserve">, </w:t>
      </w:r>
      <w:proofErr w:type="spellStart"/>
      <w:r w:rsidRPr="002F43AE">
        <w:rPr>
          <w:rFonts w:eastAsia="Cambria" w:cs="Cambria"/>
          <w:sz w:val="24"/>
          <w:szCs w:val="24"/>
        </w:rPr>
        <w:t>ketika</w:t>
      </w:r>
      <w:proofErr w:type="spellEnd"/>
      <w:r w:rsidRPr="002F43AE">
        <w:rPr>
          <w:rFonts w:eastAsia="Cambria" w:cs="Cambria"/>
          <w:sz w:val="24"/>
          <w:szCs w:val="24"/>
        </w:rPr>
        <w:t xml:space="preserve"> </w:t>
      </w:r>
      <w:proofErr w:type="spellStart"/>
      <w:r w:rsidRPr="002F43AE">
        <w:rPr>
          <w:rFonts w:eastAsia="Cambria" w:cs="Cambria"/>
          <w:sz w:val="24"/>
          <w:szCs w:val="24"/>
        </w:rPr>
        <w:t>diinduksi</w:t>
      </w:r>
      <w:proofErr w:type="spellEnd"/>
      <w:r w:rsidRPr="002F43AE">
        <w:rPr>
          <w:rFonts w:eastAsia="Cambria" w:cs="Cambria"/>
          <w:sz w:val="24"/>
          <w:szCs w:val="24"/>
        </w:rPr>
        <w:t xml:space="preserve"> pada </w:t>
      </w:r>
      <w:proofErr w:type="spellStart"/>
      <w:r w:rsidRPr="002F43AE">
        <w:rPr>
          <w:rFonts w:eastAsia="Cambria" w:cs="Cambria"/>
          <w:sz w:val="24"/>
          <w:szCs w:val="24"/>
        </w:rPr>
        <w:t>hewan</w:t>
      </w:r>
      <w:proofErr w:type="spellEnd"/>
      <w:r w:rsidRPr="002F43AE">
        <w:rPr>
          <w:rFonts w:eastAsia="Cambria" w:cs="Cambria"/>
          <w:sz w:val="24"/>
          <w:szCs w:val="24"/>
        </w:rPr>
        <w:t xml:space="preserve"> uji, </w:t>
      </w:r>
      <w:proofErr w:type="spellStart"/>
      <w:r w:rsidRPr="002F43AE">
        <w:rPr>
          <w:rFonts w:eastAsia="Cambria" w:cs="Cambria"/>
          <w:sz w:val="24"/>
          <w:szCs w:val="24"/>
        </w:rPr>
        <w:t>aloksan</w:t>
      </w:r>
      <w:proofErr w:type="spellEnd"/>
      <w:r w:rsidRPr="002F43AE">
        <w:rPr>
          <w:rFonts w:eastAsia="Cambria" w:cs="Cambria"/>
          <w:sz w:val="24"/>
          <w:szCs w:val="24"/>
        </w:rPr>
        <w:t xml:space="preserve"> transporter </w:t>
      </w:r>
      <w:proofErr w:type="spellStart"/>
      <w:r w:rsidRPr="002F43AE">
        <w:rPr>
          <w:rFonts w:eastAsia="Cambria" w:cs="Cambria"/>
          <w:sz w:val="24"/>
          <w:szCs w:val="24"/>
        </w:rPr>
        <w:t>glukosa</w:t>
      </w:r>
      <w:proofErr w:type="spellEnd"/>
      <w:r w:rsidRPr="002F43AE">
        <w:rPr>
          <w:rFonts w:eastAsia="Cambria" w:cs="Cambria"/>
          <w:sz w:val="24"/>
          <w:szCs w:val="24"/>
        </w:rPr>
        <w:t xml:space="preserve"> GLUT 2 yang </w:t>
      </w:r>
      <w:proofErr w:type="spellStart"/>
      <w:r w:rsidRPr="002F43AE">
        <w:rPr>
          <w:rFonts w:eastAsia="Cambria" w:cs="Cambria"/>
          <w:sz w:val="24"/>
          <w:szCs w:val="24"/>
        </w:rPr>
        <w:t>ada</w:t>
      </w:r>
      <w:proofErr w:type="spellEnd"/>
      <w:r w:rsidRPr="002F43AE">
        <w:rPr>
          <w:rFonts w:eastAsia="Cambria" w:cs="Cambria"/>
          <w:sz w:val="24"/>
          <w:szCs w:val="24"/>
        </w:rPr>
        <w:t xml:space="preserve"> </w:t>
      </w:r>
      <w:proofErr w:type="spellStart"/>
      <w:r w:rsidRPr="002F43AE">
        <w:rPr>
          <w:rFonts w:eastAsia="Cambria" w:cs="Cambria"/>
          <w:sz w:val="24"/>
          <w:szCs w:val="24"/>
        </w:rPr>
        <w:t>dalam</w:t>
      </w:r>
      <w:proofErr w:type="spellEnd"/>
      <w:r w:rsidRPr="002F43AE">
        <w:rPr>
          <w:rFonts w:eastAsia="Cambria" w:cs="Cambria"/>
          <w:sz w:val="24"/>
          <w:szCs w:val="24"/>
        </w:rPr>
        <w:t xml:space="preserve"> </w:t>
      </w:r>
      <w:proofErr w:type="spellStart"/>
      <w:r w:rsidRPr="002F43AE">
        <w:rPr>
          <w:rFonts w:eastAsia="Cambria" w:cs="Cambria"/>
          <w:sz w:val="24"/>
          <w:szCs w:val="24"/>
        </w:rPr>
        <w:t>sel</w:t>
      </w:r>
      <w:proofErr w:type="spellEnd"/>
      <w:r w:rsidRPr="002F43AE">
        <w:rPr>
          <w:rFonts w:eastAsia="Cambria" w:cs="Cambria"/>
          <w:sz w:val="24"/>
          <w:szCs w:val="24"/>
        </w:rPr>
        <w:t xml:space="preserve"> beta </w:t>
      </w:r>
      <w:proofErr w:type="spellStart"/>
      <w:r w:rsidRPr="002F43AE">
        <w:rPr>
          <w:rFonts w:eastAsia="Cambria" w:cs="Cambria"/>
          <w:sz w:val="24"/>
          <w:szCs w:val="24"/>
        </w:rPr>
        <w:t>pankreas</w:t>
      </w:r>
      <w:proofErr w:type="spellEnd"/>
      <w:r w:rsidRPr="002F43AE">
        <w:rPr>
          <w:rFonts w:eastAsia="Cambria" w:cs="Cambria"/>
          <w:sz w:val="24"/>
          <w:szCs w:val="24"/>
        </w:rPr>
        <w:t xml:space="preserve"> </w:t>
      </w:r>
      <w:proofErr w:type="spellStart"/>
      <w:r w:rsidRPr="002F43AE">
        <w:rPr>
          <w:rFonts w:eastAsia="Cambria" w:cs="Cambria"/>
          <w:sz w:val="24"/>
          <w:szCs w:val="24"/>
        </w:rPr>
        <w:t>dikenali</w:t>
      </w:r>
      <w:proofErr w:type="spellEnd"/>
      <w:r w:rsidRPr="002F43AE">
        <w:rPr>
          <w:rFonts w:eastAsia="Cambria" w:cs="Cambria"/>
          <w:sz w:val="24"/>
          <w:szCs w:val="24"/>
        </w:rPr>
        <w:t xml:space="preserve"> </w:t>
      </w:r>
      <w:proofErr w:type="spellStart"/>
      <w:r w:rsidRPr="002F43AE">
        <w:rPr>
          <w:rFonts w:eastAsia="Cambria" w:cs="Cambria"/>
          <w:sz w:val="24"/>
          <w:szCs w:val="24"/>
        </w:rPr>
        <w:t>sebagai</w:t>
      </w:r>
      <w:proofErr w:type="spellEnd"/>
      <w:r w:rsidRPr="002F43AE">
        <w:rPr>
          <w:rFonts w:eastAsia="Cambria" w:cs="Cambria"/>
          <w:sz w:val="24"/>
          <w:szCs w:val="24"/>
        </w:rPr>
        <w:t xml:space="preserve"> </w:t>
      </w:r>
      <w:proofErr w:type="spellStart"/>
      <w:r w:rsidRPr="002F43AE">
        <w:rPr>
          <w:rFonts w:eastAsia="Cambria" w:cs="Cambria"/>
          <w:sz w:val="24"/>
          <w:szCs w:val="24"/>
        </w:rPr>
        <w:t>glukosa</w:t>
      </w:r>
      <w:proofErr w:type="spellEnd"/>
      <w:r w:rsidRPr="002F43AE">
        <w:rPr>
          <w:rFonts w:eastAsia="Cambria" w:cs="Cambria"/>
          <w:sz w:val="24"/>
          <w:szCs w:val="24"/>
        </w:rPr>
        <w:t xml:space="preserve"> dan </w:t>
      </w:r>
      <w:proofErr w:type="spellStart"/>
      <w:r w:rsidRPr="002F43AE">
        <w:rPr>
          <w:rFonts w:eastAsia="Cambria" w:cs="Cambria"/>
          <w:sz w:val="24"/>
          <w:szCs w:val="24"/>
        </w:rPr>
        <w:t>aloksan</w:t>
      </w:r>
      <w:proofErr w:type="spellEnd"/>
      <w:r w:rsidRPr="002F43AE">
        <w:rPr>
          <w:rFonts w:eastAsia="Cambria" w:cs="Cambria"/>
          <w:sz w:val="24"/>
          <w:szCs w:val="24"/>
        </w:rPr>
        <w:t xml:space="preserve"> </w:t>
      </w:r>
      <w:proofErr w:type="spellStart"/>
      <w:r w:rsidRPr="002F43AE">
        <w:rPr>
          <w:rFonts w:eastAsia="Cambria" w:cs="Cambria"/>
          <w:sz w:val="24"/>
          <w:szCs w:val="24"/>
        </w:rPr>
        <w:t>dimuat</w:t>
      </w:r>
      <w:proofErr w:type="spellEnd"/>
      <w:r w:rsidRPr="002F43AE">
        <w:rPr>
          <w:rFonts w:eastAsia="Cambria" w:cs="Cambria"/>
          <w:sz w:val="24"/>
          <w:szCs w:val="24"/>
        </w:rPr>
        <w:t xml:space="preserve"> </w:t>
      </w:r>
      <w:proofErr w:type="spellStart"/>
      <w:r w:rsidRPr="002F43AE">
        <w:rPr>
          <w:rFonts w:eastAsia="Cambria" w:cs="Cambria"/>
          <w:sz w:val="24"/>
          <w:szCs w:val="24"/>
        </w:rPr>
        <w:t>ke</w:t>
      </w:r>
      <w:proofErr w:type="spellEnd"/>
      <w:r w:rsidRPr="002F43AE">
        <w:rPr>
          <w:rFonts w:eastAsia="Cambria" w:cs="Cambria"/>
          <w:sz w:val="24"/>
          <w:szCs w:val="24"/>
        </w:rPr>
        <w:t xml:space="preserve"> </w:t>
      </w:r>
      <w:proofErr w:type="spellStart"/>
      <w:r w:rsidRPr="002F43AE">
        <w:rPr>
          <w:rFonts w:eastAsia="Cambria" w:cs="Cambria"/>
          <w:sz w:val="24"/>
          <w:szCs w:val="24"/>
        </w:rPr>
        <w:t>dalam</w:t>
      </w:r>
      <w:proofErr w:type="spellEnd"/>
      <w:r w:rsidRPr="002F43AE">
        <w:rPr>
          <w:rFonts w:eastAsia="Cambria" w:cs="Cambria"/>
          <w:sz w:val="24"/>
          <w:szCs w:val="24"/>
        </w:rPr>
        <w:t xml:space="preserve"> </w:t>
      </w:r>
      <w:proofErr w:type="spellStart"/>
      <w:r w:rsidRPr="002F43AE">
        <w:rPr>
          <w:rFonts w:eastAsia="Cambria" w:cs="Cambria"/>
          <w:sz w:val="24"/>
          <w:szCs w:val="24"/>
        </w:rPr>
        <w:t>sitosol</w:t>
      </w:r>
      <w:proofErr w:type="spellEnd"/>
      <w:r w:rsidRPr="002F43AE">
        <w:rPr>
          <w:rFonts w:eastAsia="Cambria" w:cs="Cambria"/>
          <w:sz w:val="24"/>
          <w:szCs w:val="24"/>
        </w:rPr>
        <w:t xml:space="preserve">. </w:t>
      </w:r>
      <w:proofErr w:type="spellStart"/>
      <w:r w:rsidRPr="002F43AE">
        <w:rPr>
          <w:rFonts w:eastAsia="Cambria" w:cs="Cambria"/>
          <w:sz w:val="24"/>
          <w:szCs w:val="24"/>
        </w:rPr>
        <w:t>Sitosol</w:t>
      </w:r>
      <w:proofErr w:type="spellEnd"/>
      <w:r w:rsidRPr="002F43AE">
        <w:rPr>
          <w:rFonts w:eastAsia="Cambria" w:cs="Cambria"/>
          <w:sz w:val="24"/>
          <w:szCs w:val="24"/>
        </w:rPr>
        <w:t xml:space="preserve"> </w:t>
      </w:r>
      <w:proofErr w:type="spellStart"/>
      <w:r w:rsidRPr="002F43AE">
        <w:rPr>
          <w:rFonts w:eastAsia="Cambria" w:cs="Cambria"/>
          <w:sz w:val="24"/>
          <w:szCs w:val="24"/>
        </w:rPr>
        <w:t>mengalami</w:t>
      </w:r>
      <w:proofErr w:type="spellEnd"/>
      <w:r w:rsidRPr="002F43AE">
        <w:rPr>
          <w:rFonts w:eastAsia="Cambria" w:cs="Cambria"/>
          <w:sz w:val="24"/>
          <w:szCs w:val="24"/>
        </w:rPr>
        <w:t xml:space="preserve"> </w:t>
      </w:r>
      <w:proofErr w:type="spellStart"/>
      <w:r w:rsidRPr="002F43AE">
        <w:rPr>
          <w:rFonts w:eastAsia="Cambria" w:cs="Cambria"/>
          <w:sz w:val="24"/>
          <w:szCs w:val="24"/>
        </w:rPr>
        <w:t>reaksi</w:t>
      </w:r>
      <w:proofErr w:type="spellEnd"/>
      <w:r w:rsidRPr="002F43AE">
        <w:rPr>
          <w:rFonts w:eastAsia="Cambria" w:cs="Cambria"/>
          <w:sz w:val="24"/>
          <w:szCs w:val="24"/>
        </w:rPr>
        <w:t xml:space="preserve"> </w:t>
      </w:r>
      <w:proofErr w:type="spellStart"/>
      <w:r w:rsidRPr="002F43AE">
        <w:rPr>
          <w:rFonts w:eastAsia="Cambria" w:cs="Cambria"/>
          <w:sz w:val="24"/>
          <w:szCs w:val="24"/>
        </w:rPr>
        <w:t>redoks</w:t>
      </w:r>
      <w:proofErr w:type="spellEnd"/>
      <w:r w:rsidRPr="002F43AE">
        <w:rPr>
          <w:rFonts w:eastAsia="Cambria" w:cs="Cambria"/>
          <w:sz w:val="24"/>
          <w:szCs w:val="24"/>
        </w:rPr>
        <w:t xml:space="preserve"> </w:t>
      </w:r>
      <w:proofErr w:type="spellStart"/>
      <w:r w:rsidRPr="002F43AE">
        <w:rPr>
          <w:rFonts w:eastAsia="Cambria" w:cs="Cambria"/>
          <w:sz w:val="24"/>
          <w:szCs w:val="24"/>
        </w:rPr>
        <w:t>aloksan</w:t>
      </w:r>
      <w:proofErr w:type="spellEnd"/>
      <w:r w:rsidRPr="002F43AE">
        <w:rPr>
          <w:rFonts w:eastAsia="Cambria" w:cs="Cambria"/>
          <w:sz w:val="24"/>
          <w:szCs w:val="24"/>
        </w:rPr>
        <w:t xml:space="preserve"> </w:t>
      </w:r>
      <w:proofErr w:type="spellStart"/>
      <w:r w:rsidRPr="002F43AE">
        <w:rPr>
          <w:rFonts w:eastAsia="Cambria" w:cs="Cambria"/>
          <w:sz w:val="24"/>
          <w:szCs w:val="24"/>
        </w:rPr>
        <w:t>untuk</w:t>
      </w:r>
      <w:proofErr w:type="spellEnd"/>
      <w:r w:rsidRPr="002F43AE">
        <w:rPr>
          <w:rFonts w:eastAsia="Cambria" w:cs="Cambria"/>
          <w:sz w:val="24"/>
          <w:szCs w:val="24"/>
        </w:rPr>
        <w:t xml:space="preserve"> </w:t>
      </w:r>
      <w:proofErr w:type="spellStart"/>
      <w:r w:rsidRPr="002F43AE">
        <w:rPr>
          <w:rFonts w:eastAsia="Cambria" w:cs="Cambria"/>
          <w:sz w:val="24"/>
          <w:szCs w:val="24"/>
        </w:rPr>
        <w:t>membentuk</w:t>
      </w:r>
      <w:proofErr w:type="spellEnd"/>
      <w:r w:rsidRPr="002F43AE">
        <w:rPr>
          <w:rFonts w:eastAsia="Cambria" w:cs="Cambria"/>
          <w:sz w:val="24"/>
          <w:szCs w:val="24"/>
        </w:rPr>
        <w:t xml:space="preserve"> </w:t>
      </w:r>
      <w:proofErr w:type="spellStart"/>
      <w:r w:rsidRPr="002F43AE">
        <w:rPr>
          <w:rFonts w:eastAsia="Cambria" w:cs="Cambria"/>
          <w:sz w:val="24"/>
          <w:szCs w:val="24"/>
        </w:rPr>
        <w:t>radikal</w:t>
      </w:r>
      <w:proofErr w:type="spellEnd"/>
      <w:r w:rsidRPr="002F43AE">
        <w:rPr>
          <w:rFonts w:eastAsia="Cambria" w:cs="Cambria"/>
          <w:sz w:val="24"/>
          <w:szCs w:val="24"/>
        </w:rPr>
        <w:t xml:space="preserve"> </w:t>
      </w:r>
      <w:proofErr w:type="spellStart"/>
      <w:r w:rsidRPr="002F43AE">
        <w:rPr>
          <w:rFonts w:eastAsia="Cambria" w:cs="Cambria"/>
          <w:sz w:val="24"/>
          <w:szCs w:val="24"/>
        </w:rPr>
        <w:t>superoksida</w:t>
      </w:r>
      <w:proofErr w:type="spellEnd"/>
      <w:r w:rsidRPr="002F43AE">
        <w:rPr>
          <w:rFonts w:eastAsia="Cambria" w:cs="Cambria"/>
          <w:sz w:val="24"/>
          <w:szCs w:val="24"/>
        </w:rPr>
        <w:t xml:space="preserve">. </w:t>
      </w:r>
      <w:proofErr w:type="spellStart"/>
      <w:r w:rsidRPr="002F43AE">
        <w:rPr>
          <w:rFonts w:eastAsia="Cambria" w:cs="Cambria"/>
          <w:sz w:val="24"/>
          <w:szCs w:val="24"/>
        </w:rPr>
        <w:t>Sebagai</w:t>
      </w:r>
      <w:proofErr w:type="spellEnd"/>
      <w:r w:rsidRPr="002F43AE">
        <w:rPr>
          <w:rFonts w:eastAsia="Cambria" w:cs="Cambria"/>
          <w:sz w:val="24"/>
          <w:szCs w:val="24"/>
        </w:rPr>
        <w:t xml:space="preserve"> </w:t>
      </w:r>
      <w:proofErr w:type="spellStart"/>
      <w:r w:rsidRPr="002F43AE">
        <w:rPr>
          <w:rFonts w:eastAsia="Cambria" w:cs="Cambria"/>
          <w:sz w:val="24"/>
          <w:szCs w:val="24"/>
        </w:rPr>
        <w:t>hasil</w:t>
      </w:r>
      <w:proofErr w:type="spellEnd"/>
      <w:r w:rsidRPr="002F43AE">
        <w:rPr>
          <w:rFonts w:eastAsia="Cambria" w:cs="Cambria"/>
          <w:sz w:val="24"/>
          <w:szCs w:val="24"/>
        </w:rPr>
        <w:t xml:space="preserve"> </w:t>
      </w:r>
      <w:proofErr w:type="spellStart"/>
      <w:r w:rsidRPr="002F43AE">
        <w:rPr>
          <w:rFonts w:eastAsia="Cambria" w:cs="Cambria"/>
          <w:sz w:val="24"/>
          <w:szCs w:val="24"/>
        </w:rPr>
        <w:t>dari</w:t>
      </w:r>
      <w:proofErr w:type="spellEnd"/>
      <w:r w:rsidRPr="002F43AE">
        <w:rPr>
          <w:rFonts w:eastAsia="Cambria" w:cs="Cambria"/>
          <w:sz w:val="24"/>
          <w:szCs w:val="24"/>
        </w:rPr>
        <w:t xml:space="preserve"> </w:t>
      </w:r>
      <w:proofErr w:type="spellStart"/>
      <w:r w:rsidRPr="002F43AE">
        <w:rPr>
          <w:rFonts w:eastAsia="Cambria" w:cs="Cambria"/>
          <w:sz w:val="24"/>
          <w:szCs w:val="24"/>
        </w:rPr>
        <w:t>pengurangan</w:t>
      </w:r>
      <w:proofErr w:type="spellEnd"/>
      <w:r w:rsidRPr="002F43AE">
        <w:rPr>
          <w:rFonts w:eastAsia="Cambria" w:cs="Cambria"/>
          <w:sz w:val="24"/>
          <w:szCs w:val="24"/>
        </w:rPr>
        <w:t xml:space="preserve">, </w:t>
      </w:r>
      <w:proofErr w:type="spellStart"/>
      <w:r w:rsidRPr="002F43AE">
        <w:rPr>
          <w:rFonts w:eastAsia="Cambria" w:cs="Cambria"/>
          <w:sz w:val="24"/>
          <w:szCs w:val="24"/>
        </w:rPr>
        <w:t>asam</w:t>
      </w:r>
      <w:proofErr w:type="spellEnd"/>
      <w:r w:rsidRPr="002F43AE">
        <w:rPr>
          <w:rFonts w:eastAsia="Cambria" w:cs="Cambria"/>
          <w:sz w:val="24"/>
          <w:szCs w:val="24"/>
        </w:rPr>
        <w:t xml:space="preserve"> </w:t>
      </w:r>
      <w:proofErr w:type="spellStart"/>
      <w:r w:rsidRPr="002F43AE">
        <w:rPr>
          <w:rFonts w:eastAsia="Cambria" w:cs="Cambria"/>
          <w:sz w:val="24"/>
          <w:szCs w:val="24"/>
        </w:rPr>
        <w:t>ziarurat</w:t>
      </w:r>
      <w:proofErr w:type="spellEnd"/>
      <w:r w:rsidRPr="002F43AE">
        <w:rPr>
          <w:rFonts w:eastAsia="Cambria" w:cs="Cambria"/>
          <w:sz w:val="24"/>
          <w:szCs w:val="24"/>
        </w:rPr>
        <w:t xml:space="preserve"> </w:t>
      </w:r>
      <w:proofErr w:type="spellStart"/>
      <w:r w:rsidRPr="002F43AE">
        <w:rPr>
          <w:rFonts w:eastAsia="Cambria" w:cs="Cambria"/>
          <w:sz w:val="24"/>
          <w:szCs w:val="24"/>
        </w:rPr>
        <w:t>diproduksi</w:t>
      </w:r>
      <w:proofErr w:type="spellEnd"/>
      <w:r w:rsidRPr="002F43AE">
        <w:rPr>
          <w:rFonts w:eastAsia="Cambria" w:cs="Cambria"/>
          <w:sz w:val="24"/>
          <w:szCs w:val="24"/>
        </w:rPr>
        <w:t xml:space="preserve">. Radikal </w:t>
      </w:r>
      <w:proofErr w:type="spellStart"/>
      <w:r w:rsidRPr="002F43AE">
        <w:rPr>
          <w:rFonts w:eastAsia="Cambria" w:cs="Cambria"/>
          <w:sz w:val="24"/>
          <w:szCs w:val="24"/>
        </w:rPr>
        <w:t>ini</w:t>
      </w:r>
      <w:proofErr w:type="spellEnd"/>
      <w:r w:rsidRPr="002F43AE">
        <w:rPr>
          <w:rFonts w:eastAsia="Cambria" w:cs="Cambria"/>
          <w:sz w:val="24"/>
          <w:szCs w:val="24"/>
        </w:rPr>
        <w:t xml:space="preserve"> </w:t>
      </w:r>
      <w:proofErr w:type="spellStart"/>
      <w:r w:rsidRPr="002F43AE">
        <w:rPr>
          <w:rFonts w:eastAsia="Cambria" w:cs="Cambria"/>
          <w:sz w:val="24"/>
          <w:szCs w:val="24"/>
        </w:rPr>
        <w:t>mengalami</w:t>
      </w:r>
      <w:proofErr w:type="spellEnd"/>
      <w:r w:rsidRPr="002F43AE">
        <w:rPr>
          <w:rFonts w:eastAsia="Cambria" w:cs="Cambria"/>
          <w:sz w:val="24"/>
          <w:szCs w:val="24"/>
        </w:rPr>
        <w:t xml:space="preserve"> </w:t>
      </w:r>
      <w:proofErr w:type="spellStart"/>
      <w:r w:rsidRPr="002F43AE">
        <w:rPr>
          <w:rFonts w:eastAsia="Cambria" w:cs="Cambria"/>
          <w:sz w:val="24"/>
          <w:szCs w:val="24"/>
        </w:rPr>
        <w:t>katalisis</w:t>
      </w:r>
      <w:proofErr w:type="spellEnd"/>
      <w:r w:rsidRPr="002F43AE">
        <w:rPr>
          <w:rFonts w:eastAsia="Cambria" w:cs="Cambria"/>
          <w:sz w:val="24"/>
          <w:szCs w:val="24"/>
        </w:rPr>
        <w:t xml:space="preserve"> </w:t>
      </w:r>
      <w:proofErr w:type="spellStart"/>
      <w:r w:rsidRPr="002F43AE">
        <w:rPr>
          <w:rFonts w:eastAsia="Cambria" w:cs="Cambria"/>
          <w:sz w:val="24"/>
          <w:szCs w:val="24"/>
        </w:rPr>
        <w:t>besi</w:t>
      </w:r>
      <w:proofErr w:type="spellEnd"/>
      <w:r w:rsidRPr="002F43AE">
        <w:rPr>
          <w:rFonts w:eastAsia="Cambria" w:cs="Cambria"/>
          <w:sz w:val="24"/>
          <w:szCs w:val="24"/>
        </w:rPr>
        <w:t xml:space="preserve"> </w:t>
      </w:r>
      <w:proofErr w:type="spellStart"/>
      <w:r w:rsidRPr="002F43AE">
        <w:rPr>
          <w:rFonts w:eastAsia="Cambria" w:cs="Cambria"/>
          <w:sz w:val="24"/>
          <w:szCs w:val="24"/>
        </w:rPr>
        <w:t>untuk</w:t>
      </w:r>
      <w:proofErr w:type="spellEnd"/>
      <w:r w:rsidRPr="002F43AE">
        <w:rPr>
          <w:rFonts w:eastAsia="Cambria" w:cs="Cambria"/>
          <w:sz w:val="24"/>
          <w:szCs w:val="24"/>
        </w:rPr>
        <w:t xml:space="preserve"> </w:t>
      </w:r>
      <w:proofErr w:type="spellStart"/>
      <w:r w:rsidRPr="002F43AE">
        <w:rPr>
          <w:rFonts w:eastAsia="Cambria" w:cs="Cambria"/>
          <w:sz w:val="24"/>
          <w:szCs w:val="24"/>
        </w:rPr>
        <w:t>membentuk</w:t>
      </w:r>
      <w:proofErr w:type="spellEnd"/>
      <w:r w:rsidRPr="002F43AE">
        <w:rPr>
          <w:rFonts w:eastAsia="Cambria" w:cs="Cambria"/>
          <w:sz w:val="24"/>
          <w:szCs w:val="24"/>
        </w:rPr>
        <w:t xml:space="preserve"> </w:t>
      </w:r>
      <w:proofErr w:type="spellStart"/>
      <w:r w:rsidRPr="002F43AE">
        <w:rPr>
          <w:rFonts w:eastAsia="Cambria" w:cs="Cambria"/>
          <w:sz w:val="24"/>
          <w:szCs w:val="24"/>
        </w:rPr>
        <w:t>radikal</w:t>
      </w:r>
      <w:proofErr w:type="spellEnd"/>
      <w:r w:rsidRPr="002F43AE">
        <w:rPr>
          <w:rFonts w:eastAsia="Cambria" w:cs="Cambria"/>
          <w:sz w:val="24"/>
          <w:szCs w:val="24"/>
        </w:rPr>
        <w:t xml:space="preserve"> </w:t>
      </w:r>
      <w:proofErr w:type="spellStart"/>
      <w:r w:rsidRPr="002F43AE">
        <w:rPr>
          <w:rFonts w:eastAsia="Cambria" w:cs="Cambria"/>
          <w:sz w:val="24"/>
          <w:szCs w:val="24"/>
        </w:rPr>
        <w:t>hidroksil</w:t>
      </w:r>
      <w:proofErr w:type="spellEnd"/>
      <w:r w:rsidRPr="002F43AE">
        <w:rPr>
          <w:rFonts w:eastAsia="Cambria" w:cs="Cambria"/>
          <w:sz w:val="24"/>
          <w:szCs w:val="24"/>
        </w:rPr>
        <w:t xml:space="preserve">. Radikal </w:t>
      </w:r>
      <w:proofErr w:type="spellStart"/>
      <w:r w:rsidRPr="002F43AE">
        <w:rPr>
          <w:rFonts w:eastAsia="Cambria" w:cs="Cambria"/>
          <w:sz w:val="24"/>
          <w:szCs w:val="24"/>
        </w:rPr>
        <w:t>hidroksil</w:t>
      </w:r>
      <w:proofErr w:type="spellEnd"/>
      <w:r w:rsidRPr="002F43AE">
        <w:rPr>
          <w:rFonts w:eastAsia="Cambria" w:cs="Cambria"/>
          <w:sz w:val="24"/>
          <w:szCs w:val="24"/>
        </w:rPr>
        <w:t xml:space="preserve"> </w:t>
      </w:r>
      <w:proofErr w:type="spellStart"/>
      <w:r w:rsidRPr="002F43AE">
        <w:rPr>
          <w:rFonts w:eastAsia="Cambria" w:cs="Cambria"/>
          <w:sz w:val="24"/>
          <w:szCs w:val="24"/>
        </w:rPr>
        <w:t>ini</w:t>
      </w:r>
      <w:proofErr w:type="spellEnd"/>
      <w:r w:rsidRPr="002F43AE">
        <w:rPr>
          <w:rFonts w:eastAsia="Cambria" w:cs="Cambria"/>
          <w:sz w:val="24"/>
          <w:szCs w:val="24"/>
        </w:rPr>
        <w:t xml:space="preserve"> </w:t>
      </w:r>
      <w:proofErr w:type="spellStart"/>
      <w:r w:rsidRPr="002F43AE">
        <w:rPr>
          <w:rFonts w:eastAsia="Cambria" w:cs="Cambria"/>
          <w:sz w:val="24"/>
          <w:szCs w:val="24"/>
        </w:rPr>
        <w:t>merusak</w:t>
      </w:r>
      <w:proofErr w:type="spellEnd"/>
      <w:r w:rsidRPr="002F43AE">
        <w:rPr>
          <w:rFonts w:eastAsia="Cambria" w:cs="Cambria"/>
          <w:sz w:val="24"/>
          <w:szCs w:val="24"/>
        </w:rPr>
        <w:t xml:space="preserve"> </w:t>
      </w:r>
      <w:proofErr w:type="spellStart"/>
      <w:r w:rsidRPr="002F43AE">
        <w:rPr>
          <w:rFonts w:eastAsia="Cambria" w:cs="Cambria"/>
          <w:sz w:val="24"/>
          <w:szCs w:val="24"/>
        </w:rPr>
        <w:t>sel</w:t>
      </w:r>
      <w:proofErr w:type="spellEnd"/>
      <w:r w:rsidRPr="002F43AE">
        <w:rPr>
          <w:rFonts w:eastAsia="Cambria" w:cs="Cambria"/>
          <w:sz w:val="24"/>
          <w:szCs w:val="24"/>
        </w:rPr>
        <w:t xml:space="preserve"> beta </w:t>
      </w:r>
      <w:r>
        <w:rPr>
          <w:rFonts w:eastAsia="Cambria" w:cs="Cambria"/>
          <w:sz w:val="24"/>
          <w:szCs w:val="24"/>
        </w:rPr>
        <w:t>pancreas</w:t>
      </w:r>
      <w:r>
        <w:rPr>
          <w:rFonts w:eastAsia="Cambria" w:cs="Cambria"/>
        </w:rPr>
        <w:t xml:space="preserve"> </w:t>
      </w:r>
      <w:r w:rsidRPr="002F43AE">
        <w:rPr>
          <w:bCs/>
          <w:sz w:val="24"/>
          <w:szCs w:val="24"/>
        </w:rPr>
        <w:fldChar w:fldCharType="begin" w:fldLock="1"/>
      </w:r>
      <w:r w:rsidRPr="002F43AE">
        <w:rPr>
          <w:bCs/>
          <w:sz w:val="24"/>
          <w:szCs w:val="24"/>
        </w:rPr>
        <w:instrText>ADDIN CSL_CITATION {"citationItems":[{"id":"ITEM-1","itemData":{"DOI":"10.1016/j.medici.2018.02.001","ISSN":"1010660X","PMID":"29548636","abstract":"Glycemic homeostasis refers to glucose balance or control within circulation in living organisms. It is normally and largely compromised in diabetes. The compromise when exacerbated, leads to several complications including retinopathy, nephropathy and neuropathy which are collectively known as diabetic complications and are the principal actors in co-morbidity and eventual mortality often associated with diabetes. The ability of therapeutic compounds including medicinal plants to restore glycemic balance or homeostasis in hyperglycemic condition is an index of their antidiabetic function and relevance. Alloxan and streptozotocin are the most popular diabetogenic agents used for assessing the antidiabetic or hypoglycemic capacity of test compounds. Notably, alloxan is far less expensive and more readily available than streptozotocin. On this ground, one will logically expect a preference for use of alloxan in experimental diabetes studies. Surprisingly, a sub meta-analysis of randomly selected studies conducted within the last one and half decade revealed otherwise. This observation necessitated the review of alloxan as a diabetogenic agent in animal studies.","author":[{"dropping-particle":"","family":"Ighodaro","given":"Osasenaga Macdonald","non-dropping-particle":"","parse-names":false,"suffix":""},{"dropping-particle":"","family":"Adeosun","given":"Abiola Mohammed","non-dropping-particle":"","parse-names":false,"suffix":""},{"dropping-particle":"","family":"Oluseyi Adeboye Akinloye","given":"","non-dropping-particle":"","parse-names":false,"suffix":""}],"container-title":"Medicina (Lithuania)","id":"ITEM-1","issue":"6","issued":{"date-parts":[["2017"]]},"page":"365-374","title":"Alloxan-induced diabetes, a common model for evaluating the glycemic-control potential of therapeutic compounds and plants extracts in experimental studies","type":"article-journal","volume":"53"},"uris":["http://www.mendeley.com/documents/?uuid=30844c6c-af82-45e1-adc2-8975a99aa524"]}],"mendeley":{"formattedCitation":"(Ighodaro &lt;i&gt;et al.&lt;/i&gt;, 2017)","plainTextFormattedCitation":"(Ighodaro et al., 2017)","previouslyFormattedCitation":"(14)"},"properties":{"noteIndex":0},"schema":"https://github.com/citation-style-language/schema/raw/master/csl-citation.json"}</w:instrText>
      </w:r>
      <w:r w:rsidRPr="002F43AE">
        <w:rPr>
          <w:bCs/>
          <w:sz w:val="24"/>
          <w:szCs w:val="24"/>
        </w:rPr>
        <w:fldChar w:fldCharType="separate"/>
      </w:r>
      <w:r w:rsidRPr="002F43AE">
        <w:rPr>
          <w:bCs/>
          <w:noProof/>
          <w:sz w:val="24"/>
          <w:szCs w:val="24"/>
        </w:rPr>
        <w:t xml:space="preserve">(Ighodaro </w:t>
      </w:r>
      <w:r w:rsidRPr="002F43AE">
        <w:rPr>
          <w:bCs/>
          <w:i/>
          <w:noProof/>
          <w:sz w:val="24"/>
          <w:szCs w:val="24"/>
        </w:rPr>
        <w:t>et al.</w:t>
      </w:r>
      <w:r w:rsidRPr="002F43AE">
        <w:rPr>
          <w:bCs/>
          <w:caps/>
          <w:noProof/>
          <w:sz w:val="24"/>
          <w:szCs w:val="24"/>
        </w:rPr>
        <w:t>, 2017)</w:t>
      </w:r>
      <w:r w:rsidRPr="002F43AE">
        <w:rPr>
          <w:bCs/>
          <w:sz w:val="24"/>
          <w:szCs w:val="24"/>
        </w:rPr>
        <w:fldChar w:fldCharType="end"/>
      </w:r>
      <w:r w:rsidRPr="002F43AE">
        <w:rPr>
          <w:bCs/>
          <w:sz w:val="24"/>
          <w:szCs w:val="24"/>
        </w:rPr>
        <w:t>.</w:t>
      </w:r>
    </w:p>
    <w:p w14:paraId="2051030F" w14:textId="77777777" w:rsidR="002F43AE" w:rsidRDefault="002F43AE" w:rsidP="00BB1926">
      <w:pPr>
        <w:pStyle w:val="FirstParagraph"/>
        <w:ind w:left="0" w:firstLine="450"/>
        <w:rPr>
          <w:szCs w:val="24"/>
        </w:rPr>
      </w:pPr>
      <w:r w:rsidRPr="00364A27">
        <w:rPr>
          <w:szCs w:val="24"/>
        </w:rPr>
        <w:t xml:space="preserve">Mencit </w:t>
      </w:r>
      <w:r>
        <w:rPr>
          <w:szCs w:val="24"/>
        </w:rPr>
        <w:t xml:space="preserve">yang  mengalam </w:t>
      </w:r>
      <w:r w:rsidRPr="00364A27">
        <w:rPr>
          <w:szCs w:val="24"/>
        </w:rPr>
        <w:t>hiperglikemia diberikan monoterapi</w:t>
      </w:r>
      <w:r>
        <w:rPr>
          <w:szCs w:val="24"/>
        </w:rPr>
        <w:t xml:space="preserve"> dan kombinasi terapi obat diabetes. Monoterapi yang digunakan adalah dapagliflozin. Dapagliflozin </w:t>
      </w:r>
      <w:r w:rsidRPr="00364A27">
        <w:rPr>
          <w:szCs w:val="24"/>
        </w:rPr>
        <w:t>bekerja dengan menghambat reabsorpsi glukosa dan meningkatkan ekskresi urin dengan menghambat cotransporter natrium-glukosa 2 di tubulus proksimal, sehingga menurunkan gula darah yang dapat menyebabkan efek samping</w:t>
      </w:r>
      <w:r>
        <w:rPr>
          <w:szCs w:val="24"/>
        </w:rPr>
        <w:t xml:space="preserve"> mengeluarkan urin pada saat mengkonsumsi dapagliflozin </w:t>
      </w:r>
      <w:r>
        <w:rPr>
          <w:b/>
          <w:color w:val="000000"/>
          <w:szCs w:val="24"/>
        </w:rPr>
        <w:fldChar w:fldCharType="begin" w:fldLock="1"/>
      </w:r>
      <w:r>
        <w:rPr>
          <w:color w:val="000000"/>
          <w:szCs w:val="24"/>
        </w:rPr>
        <w:instrText>ADDIN CSL_CITATION {"citationItems":[{"id":"ITEM-1","itemData":{"DOI":"10.1111/ijcp.12937","ISSN":"17421241","PMID":"28440009","abstract":"Aims: Sodium-glucose co-transporter type 2 (SGLT2) inhibitors are a new class of anti-hyperglycaemic agents in type 2 diabetes mellitus (T2DM). This review examines their mechanism of action and provides an overview of safety and efficacy from the main studies of SGLT2 inhibitors marketed in the United States and Europe, namely, canagliflozin, dapagliflozin and empagliflozin. Methods: We searched the PubMed database to identify relevant publications on the mechanism of action of SGLT2 inhibitors and clinical trial reports. Results: Clinical trials in patients with T2DM have shown significant improvements in glycaemic control vs placebo with canagliflozin, dapagliflozin and empagliflozin: patients were more likely to reach target glycated haemoglobin levels compared with patients receiving placebo. All SGLT2 inhibitors also led to modest reductions in body weight and blood pressure vs placebo. Generally, all agents were well tolerated, with the most common adverse events with this class being genital mycotic infections and urinary tract infections. Hypoglycaemia was reported at rates similar to those seen with placebo, except when SGLT2 inhibitors were given in combination with insulin or an insulin secretagogue. Long-term outcome data are available only for empagliflozin: in the EMPA-REG OUTCOME study, empagliflozin demonstrated reduced risk of the composite end-point of 3-point major adverse cardiovascular events (cardiovascular death, non-fatal myocardial infarction or non-fatal stroke), primarily because of a significant reduction in cardiovascular mortality. Conclusions: SGLT2 inhibitors are an exciting addition to the list of available agents for T2DM, and may be suitable for various types of patients who need additional glycaemic control.","author":[{"dropping-particle":"","family":"Paresh","given":"D","non-dropping-particle":"","parse-names":false,"suffix":""},{"dropping-particle":"","family":"Chaudhuri","given":"A","non-dropping-particle":"","parse-names":false,"suffix":""}],"container-title":"International Journal of Clinical Practice","id":"ITEM-1","issue":"5","issued":{"date-parts":[["2017"]]},"page":"1-14","title":"Sodium-glucose co-transporter 2 inhibitors for type 2 diabetes mellitus: An overview for the primary care physician","type":"article-journal","volume":"71"},"uris":["http://www.mendeley.com/documents/?uuid=c04ff7d5-4ea6-461f-a6ac-36aa90cbfdd8"]}],"mendeley":{"formattedCitation":"(Paresh and Chaudhuri, 2017)","plainTextFormattedCitation":"(Paresh and Chaudhuri, 2017)","previouslyFormattedCitation":"(5)"},"properties":{"noteIndex":0},"schema":"https://github.com/citation-style-language/schema/raw/master/csl-citation.json"}</w:instrText>
      </w:r>
      <w:r>
        <w:rPr>
          <w:b/>
          <w:color w:val="000000"/>
          <w:szCs w:val="24"/>
        </w:rPr>
        <w:fldChar w:fldCharType="separate"/>
      </w:r>
      <w:r w:rsidRPr="00DA390C">
        <w:rPr>
          <w:noProof/>
          <w:color w:val="000000"/>
          <w:szCs w:val="24"/>
        </w:rPr>
        <w:t>(Paresh and Chaudhuri, 2017)</w:t>
      </w:r>
      <w:r>
        <w:rPr>
          <w:b/>
          <w:color w:val="000000"/>
          <w:szCs w:val="24"/>
        </w:rPr>
        <w:fldChar w:fldCharType="end"/>
      </w:r>
      <w:r>
        <w:rPr>
          <w:color w:val="000000"/>
          <w:szCs w:val="24"/>
        </w:rPr>
        <w:t>.</w:t>
      </w:r>
      <w:r>
        <w:rPr>
          <w:szCs w:val="24"/>
        </w:rPr>
        <w:t xml:space="preserve"> </w:t>
      </w:r>
      <w:r w:rsidRPr="00E55EF8">
        <w:rPr>
          <w:szCs w:val="24"/>
        </w:rPr>
        <w:t>Hasil penelitian ini menunjukkan, pemberian dapagliflozin tunggal menunjukan adanya penuruan kadar gula d</w:t>
      </w:r>
      <w:r>
        <w:rPr>
          <w:szCs w:val="24"/>
        </w:rPr>
        <w:t xml:space="preserve">arah dengan rata-rata </w:t>
      </w:r>
      <w:r w:rsidRPr="00820F70">
        <w:rPr>
          <w:szCs w:val="24"/>
        </w:rPr>
        <w:t>147.48 ± 1.94</w:t>
      </w:r>
      <w:r w:rsidRPr="00E55EF8">
        <w:rPr>
          <w:szCs w:val="24"/>
        </w:rPr>
        <w:t xml:space="preserve"> </w:t>
      </w:r>
    </w:p>
    <w:p w14:paraId="6C58577D" w14:textId="77777777" w:rsidR="002F43AE" w:rsidRDefault="002F43AE" w:rsidP="002F43AE">
      <w:pPr>
        <w:ind w:firstLine="450"/>
        <w:jc w:val="both"/>
        <w:rPr>
          <w:sz w:val="24"/>
          <w:szCs w:val="24"/>
        </w:rPr>
      </w:pPr>
      <w:r w:rsidRPr="002F43AE">
        <w:rPr>
          <w:sz w:val="24"/>
          <w:szCs w:val="24"/>
        </w:rPr>
        <w:t xml:space="preserve">Pada </w:t>
      </w:r>
      <w:proofErr w:type="spellStart"/>
      <w:r>
        <w:rPr>
          <w:sz w:val="24"/>
          <w:szCs w:val="24"/>
        </w:rPr>
        <w:t>p</w:t>
      </w:r>
      <w:r w:rsidRPr="002F43AE">
        <w:rPr>
          <w:sz w:val="24"/>
          <w:szCs w:val="24"/>
        </w:rPr>
        <w:t>enelitian</w:t>
      </w:r>
      <w:proofErr w:type="spellEnd"/>
      <w:r w:rsidRPr="002F43AE">
        <w:rPr>
          <w:sz w:val="24"/>
          <w:szCs w:val="24"/>
        </w:rPr>
        <w:t xml:space="preserve"> </w:t>
      </w:r>
      <w:proofErr w:type="spellStart"/>
      <w:r w:rsidRPr="002F43AE">
        <w:rPr>
          <w:sz w:val="24"/>
          <w:szCs w:val="24"/>
        </w:rPr>
        <w:t>ini</w:t>
      </w:r>
      <w:proofErr w:type="spellEnd"/>
      <w:r w:rsidRPr="002F43AE">
        <w:rPr>
          <w:sz w:val="24"/>
          <w:szCs w:val="24"/>
        </w:rPr>
        <w:t xml:space="preserve"> juga </w:t>
      </w:r>
      <w:proofErr w:type="spellStart"/>
      <w:r w:rsidRPr="002F43AE">
        <w:rPr>
          <w:sz w:val="24"/>
          <w:szCs w:val="24"/>
        </w:rPr>
        <w:t>diberikan</w:t>
      </w:r>
      <w:proofErr w:type="spellEnd"/>
      <w:r w:rsidRPr="002F43AE">
        <w:rPr>
          <w:sz w:val="24"/>
          <w:szCs w:val="24"/>
        </w:rPr>
        <w:t xml:space="preserve"> </w:t>
      </w:r>
      <w:proofErr w:type="spellStart"/>
      <w:r w:rsidRPr="002F43AE">
        <w:rPr>
          <w:sz w:val="24"/>
          <w:szCs w:val="24"/>
        </w:rPr>
        <w:t>terapi</w:t>
      </w:r>
      <w:proofErr w:type="spellEnd"/>
      <w:r w:rsidRPr="002F43AE">
        <w:rPr>
          <w:sz w:val="24"/>
          <w:szCs w:val="24"/>
        </w:rPr>
        <w:t xml:space="preserve"> </w:t>
      </w:r>
      <w:proofErr w:type="spellStart"/>
      <w:r w:rsidRPr="002F43AE">
        <w:rPr>
          <w:sz w:val="24"/>
          <w:szCs w:val="24"/>
        </w:rPr>
        <w:t>kombinasi</w:t>
      </w:r>
      <w:proofErr w:type="spellEnd"/>
      <w:r w:rsidRPr="002F43AE">
        <w:rPr>
          <w:sz w:val="24"/>
          <w:szCs w:val="24"/>
        </w:rPr>
        <w:t xml:space="preserve"> dapagliflozin </w:t>
      </w:r>
      <w:proofErr w:type="spellStart"/>
      <w:r w:rsidRPr="002F43AE">
        <w:rPr>
          <w:sz w:val="24"/>
          <w:szCs w:val="24"/>
        </w:rPr>
        <w:t>dengan</w:t>
      </w:r>
      <w:proofErr w:type="spellEnd"/>
      <w:r w:rsidRPr="002F43AE">
        <w:rPr>
          <w:sz w:val="24"/>
          <w:szCs w:val="24"/>
        </w:rPr>
        <w:t xml:space="preserve"> </w:t>
      </w:r>
      <w:proofErr w:type="spellStart"/>
      <w:r w:rsidRPr="002F43AE">
        <w:rPr>
          <w:sz w:val="24"/>
          <w:szCs w:val="24"/>
        </w:rPr>
        <w:t>agen</w:t>
      </w:r>
      <w:proofErr w:type="spellEnd"/>
      <w:r w:rsidRPr="002F43AE">
        <w:rPr>
          <w:sz w:val="24"/>
          <w:szCs w:val="24"/>
        </w:rPr>
        <w:t xml:space="preserve"> </w:t>
      </w:r>
      <w:proofErr w:type="spellStart"/>
      <w:r w:rsidRPr="002F43AE">
        <w:rPr>
          <w:sz w:val="24"/>
          <w:szCs w:val="24"/>
        </w:rPr>
        <w:t>antidiabetik</w:t>
      </w:r>
      <w:proofErr w:type="spellEnd"/>
      <w:r w:rsidRPr="002F43AE">
        <w:rPr>
          <w:sz w:val="24"/>
          <w:szCs w:val="24"/>
        </w:rPr>
        <w:t xml:space="preserve"> </w:t>
      </w:r>
      <w:proofErr w:type="spellStart"/>
      <w:r w:rsidRPr="002F43AE">
        <w:rPr>
          <w:sz w:val="24"/>
          <w:szCs w:val="24"/>
        </w:rPr>
        <w:t>lain</w:t>
      </w:r>
      <w:proofErr w:type="spellEnd"/>
      <w:r w:rsidRPr="002F43AE">
        <w:rPr>
          <w:sz w:val="24"/>
          <w:szCs w:val="24"/>
        </w:rPr>
        <w:t xml:space="preserve">, </w:t>
      </w:r>
      <w:proofErr w:type="spellStart"/>
      <w:r w:rsidRPr="002F43AE">
        <w:rPr>
          <w:sz w:val="24"/>
          <w:szCs w:val="24"/>
        </w:rPr>
        <w:t>karena</w:t>
      </w:r>
      <w:proofErr w:type="spellEnd"/>
      <w:r w:rsidRPr="002F43AE">
        <w:rPr>
          <w:sz w:val="24"/>
          <w:szCs w:val="24"/>
        </w:rPr>
        <w:t xml:space="preserve"> </w:t>
      </w:r>
      <w:proofErr w:type="spellStart"/>
      <w:r w:rsidRPr="002F43AE">
        <w:rPr>
          <w:sz w:val="24"/>
          <w:szCs w:val="24"/>
        </w:rPr>
        <w:t>tujuan</w:t>
      </w:r>
      <w:proofErr w:type="spellEnd"/>
      <w:r w:rsidRPr="002F43AE">
        <w:rPr>
          <w:sz w:val="24"/>
          <w:szCs w:val="24"/>
        </w:rPr>
        <w:t xml:space="preserve"> pada </w:t>
      </w:r>
      <w:proofErr w:type="spellStart"/>
      <w:r w:rsidRPr="002F43AE">
        <w:rPr>
          <w:sz w:val="24"/>
          <w:szCs w:val="24"/>
        </w:rPr>
        <w:t>penelitian</w:t>
      </w:r>
      <w:proofErr w:type="spellEnd"/>
      <w:r w:rsidRPr="002F43AE">
        <w:rPr>
          <w:sz w:val="24"/>
          <w:szCs w:val="24"/>
        </w:rPr>
        <w:t xml:space="preserve"> kali </w:t>
      </w:r>
      <w:proofErr w:type="spellStart"/>
      <w:r w:rsidRPr="002F43AE">
        <w:rPr>
          <w:sz w:val="24"/>
          <w:szCs w:val="24"/>
        </w:rPr>
        <w:t>ini</w:t>
      </w:r>
      <w:proofErr w:type="spellEnd"/>
      <w:r w:rsidRPr="002F43AE">
        <w:rPr>
          <w:sz w:val="24"/>
          <w:szCs w:val="24"/>
        </w:rPr>
        <w:t xml:space="preserve"> </w:t>
      </w:r>
      <w:proofErr w:type="spellStart"/>
      <w:r w:rsidRPr="002F43AE">
        <w:rPr>
          <w:sz w:val="24"/>
          <w:szCs w:val="24"/>
        </w:rPr>
        <w:t>melihat</w:t>
      </w:r>
      <w:proofErr w:type="spellEnd"/>
      <w:r w:rsidRPr="002F43AE">
        <w:rPr>
          <w:sz w:val="24"/>
          <w:szCs w:val="24"/>
        </w:rPr>
        <w:t xml:space="preserve"> </w:t>
      </w:r>
      <w:proofErr w:type="spellStart"/>
      <w:r w:rsidRPr="002F43AE">
        <w:rPr>
          <w:sz w:val="24"/>
          <w:szCs w:val="24"/>
        </w:rPr>
        <w:t>perbandingan</w:t>
      </w:r>
      <w:proofErr w:type="spellEnd"/>
      <w:r w:rsidRPr="002F43AE">
        <w:rPr>
          <w:sz w:val="24"/>
          <w:szCs w:val="24"/>
        </w:rPr>
        <w:t xml:space="preserve"> </w:t>
      </w:r>
      <w:proofErr w:type="spellStart"/>
      <w:r w:rsidRPr="002F43AE">
        <w:rPr>
          <w:sz w:val="24"/>
          <w:szCs w:val="24"/>
        </w:rPr>
        <w:t>efektivitas</w:t>
      </w:r>
      <w:proofErr w:type="spellEnd"/>
      <w:r w:rsidRPr="002F43AE">
        <w:rPr>
          <w:sz w:val="24"/>
          <w:szCs w:val="24"/>
        </w:rPr>
        <w:t xml:space="preserve"> new oral hypoglycemic agent dapagliflozin yang </w:t>
      </w:r>
      <w:proofErr w:type="spellStart"/>
      <w:r w:rsidRPr="002F43AE">
        <w:rPr>
          <w:sz w:val="24"/>
          <w:szCs w:val="24"/>
        </w:rPr>
        <w:t>digunakan</w:t>
      </w:r>
      <w:proofErr w:type="spellEnd"/>
      <w:r w:rsidRPr="002F43AE">
        <w:rPr>
          <w:sz w:val="24"/>
          <w:szCs w:val="24"/>
        </w:rPr>
        <w:t xml:space="preserve"> </w:t>
      </w:r>
      <w:proofErr w:type="spellStart"/>
      <w:r w:rsidRPr="002F43AE">
        <w:rPr>
          <w:sz w:val="24"/>
          <w:szCs w:val="24"/>
        </w:rPr>
        <w:t>sebagai</w:t>
      </w:r>
      <w:proofErr w:type="spellEnd"/>
      <w:r w:rsidRPr="002F43AE">
        <w:rPr>
          <w:sz w:val="24"/>
          <w:szCs w:val="24"/>
        </w:rPr>
        <w:t xml:space="preserve"> </w:t>
      </w:r>
      <w:proofErr w:type="spellStart"/>
      <w:r w:rsidRPr="002F43AE">
        <w:rPr>
          <w:sz w:val="24"/>
          <w:szCs w:val="24"/>
        </w:rPr>
        <w:t>monoterapi</w:t>
      </w:r>
      <w:proofErr w:type="spellEnd"/>
      <w:r w:rsidRPr="002F43AE">
        <w:rPr>
          <w:sz w:val="24"/>
          <w:szCs w:val="24"/>
        </w:rPr>
        <w:t xml:space="preserve"> dan </w:t>
      </w:r>
      <w:proofErr w:type="spellStart"/>
      <w:r w:rsidRPr="002F43AE">
        <w:rPr>
          <w:sz w:val="24"/>
          <w:szCs w:val="24"/>
        </w:rPr>
        <w:t>kombinasi</w:t>
      </w:r>
      <w:proofErr w:type="spellEnd"/>
      <w:r w:rsidRPr="002F43AE">
        <w:rPr>
          <w:sz w:val="24"/>
          <w:szCs w:val="24"/>
        </w:rPr>
        <w:t xml:space="preserve">. Pada </w:t>
      </w:r>
      <w:proofErr w:type="spellStart"/>
      <w:r w:rsidRPr="002F43AE">
        <w:rPr>
          <w:sz w:val="24"/>
          <w:szCs w:val="24"/>
        </w:rPr>
        <w:t>penelitian</w:t>
      </w:r>
      <w:proofErr w:type="spellEnd"/>
      <w:r w:rsidRPr="002F43AE">
        <w:rPr>
          <w:sz w:val="24"/>
          <w:szCs w:val="24"/>
        </w:rPr>
        <w:t xml:space="preserve"> kali </w:t>
      </w:r>
      <w:proofErr w:type="spellStart"/>
      <w:r w:rsidRPr="002F43AE">
        <w:rPr>
          <w:sz w:val="24"/>
          <w:szCs w:val="24"/>
        </w:rPr>
        <w:t>ini</w:t>
      </w:r>
      <w:proofErr w:type="spellEnd"/>
      <w:r w:rsidRPr="002F43AE">
        <w:rPr>
          <w:sz w:val="24"/>
          <w:szCs w:val="24"/>
        </w:rPr>
        <w:t xml:space="preserve"> </w:t>
      </w:r>
      <w:proofErr w:type="spellStart"/>
      <w:r w:rsidRPr="002F43AE">
        <w:rPr>
          <w:sz w:val="24"/>
          <w:szCs w:val="24"/>
        </w:rPr>
        <w:t>menggunakan</w:t>
      </w:r>
      <w:proofErr w:type="spellEnd"/>
      <w:r w:rsidRPr="002F43AE">
        <w:rPr>
          <w:sz w:val="24"/>
          <w:szCs w:val="24"/>
        </w:rPr>
        <w:t xml:space="preserve"> 2 dan 3 </w:t>
      </w:r>
      <w:proofErr w:type="spellStart"/>
      <w:r w:rsidRPr="002F43AE">
        <w:rPr>
          <w:sz w:val="24"/>
          <w:szCs w:val="24"/>
        </w:rPr>
        <w:t>kombinasi</w:t>
      </w:r>
      <w:proofErr w:type="spellEnd"/>
      <w:r w:rsidRPr="002F43AE">
        <w:rPr>
          <w:sz w:val="24"/>
          <w:szCs w:val="24"/>
        </w:rPr>
        <w:t xml:space="preserve"> </w:t>
      </w:r>
      <w:proofErr w:type="spellStart"/>
      <w:r w:rsidRPr="002F43AE">
        <w:rPr>
          <w:sz w:val="24"/>
          <w:szCs w:val="24"/>
        </w:rPr>
        <w:t>obat</w:t>
      </w:r>
      <w:proofErr w:type="spellEnd"/>
      <w:r w:rsidRPr="002F43AE">
        <w:rPr>
          <w:sz w:val="24"/>
          <w:szCs w:val="24"/>
        </w:rPr>
        <w:t xml:space="preserve">. </w:t>
      </w:r>
      <w:proofErr w:type="spellStart"/>
      <w:r w:rsidRPr="002F43AE">
        <w:rPr>
          <w:sz w:val="24"/>
          <w:szCs w:val="24"/>
        </w:rPr>
        <w:t>Agen</w:t>
      </w:r>
      <w:proofErr w:type="spellEnd"/>
      <w:r w:rsidRPr="002F43AE">
        <w:rPr>
          <w:sz w:val="24"/>
          <w:szCs w:val="24"/>
        </w:rPr>
        <w:t xml:space="preserve"> </w:t>
      </w:r>
      <w:proofErr w:type="spellStart"/>
      <w:r w:rsidRPr="002F43AE">
        <w:rPr>
          <w:sz w:val="24"/>
          <w:szCs w:val="24"/>
        </w:rPr>
        <w:t>antidiabetik</w:t>
      </w:r>
      <w:proofErr w:type="spellEnd"/>
      <w:r w:rsidRPr="002F43AE">
        <w:rPr>
          <w:sz w:val="24"/>
          <w:szCs w:val="24"/>
        </w:rPr>
        <w:t xml:space="preserve"> lain yang </w:t>
      </w:r>
      <w:proofErr w:type="spellStart"/>
      <w:r w:rsidRPr="002F43AE">
        <w:rPr>
          <w:sz w:val="24"/>
          <w:szCs w:val="24"/>
        </w:rPr>
        <w:t>digunakan</w:t>
      </w:r>
      <w:proofErr w:type="spellEnd"/>
      <w:r w:rsidRPr="002F43AE">
        <w:rPr>
          <w:sz w:val="24"/>
          <w:szCs w:val="24"/>
        </w:rPr>
        <w:t xml:space="preserve"> </w:t>
      </w:r>
      <w:proofErr w:type="spellStart"/>
      <w:r w:rsidRPr="002F43AE">
        <w:rPr>
          <w:sz w:val="24"/>
          <w:szCs w:val="24"/>
        </w:rPr>
        <w:t>adalah</w:t>
      </w:r>
      <w:proofErr w:type="spellEnd"/>
      <w:r w:rsidRPr="002F43AE">
        <w:rPr>
          <w:sz w:val="24"/>
          <w:szCs w:val="24"/>
        </w:rPr>
        <w:t xml:space="preserve"> Metformin </w:t>
      </w:r>
      <w:proofErr w:type="spellStart"/>
      <w:r w:rsidRPr="002F43AE">
        <w:rPr>
          <w:sz w:val="24"/>
          <w:szCs w:val="24"/>
        </w:rPr>
        <w:t>Glimepirid</w:t>
      </w:r>
      <w:proofErr w:type="spellEnd"/>
      <w:r w:rsidRPr="002F43AE">
        <w:rPr>
          <w:sz w:val="24"/>
          <w:szCs w:val="24"/>
        </w:rPr>
        <w:t>, (</w:t>
      </w:r>
      <w:proofErr w:type="spellStart"/>
      <w:r w:rsidRPr="002F43AE">
        <w:rPr>
          <w:sz w:val="24"/>
          <w:szCs w:val="24"/>
        </w:rPr>
        <w:t>Sulfonilurea</w:t>
      </w:r>
      <w:proofErr w:type="spellEnd"/>
      <w:r w:rsidRPr="002F43AE">
        <w:rPr>
          <w:sz w:val="24"/>
          <w:szCs w:val="24"/>
        </w:rPr>
        <w:t xml:space="preserve">) dan </w:t>
      </w:r>
      <w:proofErr w:type="spellStart"/>
      <w:r w:rsidRPr="002F43AE">
        <w:rPr>
          <w:sz w:val="24"/>
          <w:szCs w:val="24"/>
        </w:rPr>
        <w:t>Saxagliptin</w:t>
      </w:r>
      <w:proofErr w:type="spellEnd"/>
      <w:r w:rsidRPr="002F43AE">
        <w:rPr>
          <w:sz w:val="24"/>
          <w:szCs w:val="24"/>
        </w:rPr>
        <w:t xml:space="preserve"> (Dpp4-i).</w:t>
      </w:r>
    </w:p>
    <w:p w14:paraId="5AD71B4E" w14:textId="77777777" w:rsidR="002F43AE" w:rsidRDefault="002F43AE" w:rsidP="002F43AE">
      <w:pPr>
        <w:ind w:firstLine="450"/>
        <w:jc w:val="both"/>
        <w:rPr>
          <w:sz w:val="24"/>
          <w:szCs w:val="24"/>
        </w:rPr>
      </w:pPr>
      <w:proofErr w:type="spellStart"/>
      <w:r w:rsidRPr="00820F70">
        <w:rPr>
          <w:sz w:val="24"/>
          <w:szCs w:val="24"/>
        </w:rPr>
        <w:t>Ko</w:t>
      </w:r>
      <w:r>
        <w:rPr>
          <w:sz w:val="24"/>
          <w:szCs w:val="24"/>
        </w:rPr>
        <w:t>mbinasi</w:t>
      </w:r>
      <w:proofErr w:type="spellEnd"/>
      <w:r>
        <w:rPr>
          <w:sz w:val="24"/>
          <w:szCs w:val="24"/>
        </w:rPr>
        <w:t xml:space="preserve"> </w:t>
      </w:r>
      <w:proofErr w:type="spellStart"/>
      <w:r>
        <w:rPr>
          <w:sz w:val="24"/>
          <w:szCs w:val="24"/>
        </w:rPr>
        <w:t>umum</w:t>
      </w:r>
      <w:proofErr w:type="spellEnd"/>
      <w:r>
        <w:rPr>
          <w:sz w:val="24"/>
          <w:szCs w:val="24"/>
        </w:rPr>
        <w:t xml:space="preserve"> yang </w:t>
      </w:r>
      <w:proofErr w:type="spellStart"/>
      <w:r>
        <w:rPr>
          <w:sz w:val="24"/>
          <w:szCs w:val="24"/>
        </w:rPr>
        <w:t>diberikan</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kombinasi</w:t>
      </w:r>
      <w:proofErr w:type="spellEnd"/>
      <w:r>
        <w:rPr>
          <w:sz w:val="24"/>
          <w:szCs w:val="24"/>
        </w:rPr>
        <w:t xml:space="preserve"> dapagliflozin dan metformin</w:t>
      </w:r>
      <w:r w:rsidRPr="00820F70">
        <w:t xml:space="preserve"> </w:t>
      </w:r>
      <w:proofErr w:type="spellStart"/>
      <w:r w:rsidRPr="00820F70">
        <w:rPr>
          <w:sz w:val="24"/>
          <w:szCs w:val="24"/>
        </w:rPr>
        <w:t>Metformin</w:t>
      </w:r>
      <w:proofErr w:type="spellEnd"/>
      <w:r w:rsidRPr="00820F70">
        <w:rPr>
          <w:sz w:val="24"/>
          <w:szCs w:val="24"/>
        </w:rPr>
        <w:t xml:space="preserve"> </w:t>
      </w:r>
      <w:proofErr w:type="spellStart"/>
      <w:r w:rsidRPr="00820F70">
        <w:rPr>
          <w:sz w:val="24"/>
          <w:szCs w:val="24"/>
        </w:rPr>
        <w:t>bekerja</w:t>
      </w:r>
      <w:proofErr w:type="spellEnd"/>
      <w:r w:rsidRPr="00820F70">
        <w:rPr>
          <w:sz w:val="24"/>
          <w:szCs w:val="24"/>
        </w:rPr>
        <w:t xml:space="preserve"> </w:t>
      </w:r>
      <w:proofErr w:type="spellStart"/>
      <w:r w:rsidRPr="00820F70">
        <w:rPr>
          <w:sz w:val="24"/>
          <w:szCs w:val="24"/>
        </w:rPr>
        <w:t>dengan</w:t>
      </w:r>
      <w:proofErr w:type="spellEnd"/>
      <w:r w:rsidRPr="00820F70">
        <w:rPr>
          <w:sz w:val="24"/>
          <w:szCs w:val="24"/>
        </w:rPr>
        <w:t xml:space="preserve"> </w:t>
      </w:r>
      <w:proofErr w:type="spellStart"/>
      <w:r w:rsidRPr="00820F70">
        <w:rPr>
          <w:sz w:val="24"/>
          <w:szCs w:val="24"/>
        </w:rPr>
        <w:t>menekan</w:t>
      </w:r>
      <w:proofErr w:type="spellEnd"/>
      <w:r w:rsidRPr="00820F70">
        <w:rPr>
          <w:sz w:val="24"/>
          <w:szCs w:val="24"/>
        </w:rPr>
        <w:t xml:space="preserve"> </w:t>
      </w:r>
      <w:proofErr w:type="spellStart"/>
      <w:r w:rsidRPr="00820F70">
        <w:rPr>
          <w:sz w:val="24"/>
          <w:szCs w:val="24"/>
        </w:rPr>
        <w:t>produksi</w:t>
      </w:r>
      <w:proofErr w:type="spellEnd"/>
      <w:r w:rsidRPr="00820F70">
        <w:rPr>
          <w:sz w:val="24"/>
          <w:szCs w:val="24"/>
        </w:rPr>
        <w:t xml:space="preserve"> </w:t>
      </w:r>
      <w:proofErr w:type="spellStart"/>
      <w:r w:rsidRPr="00820F70">
        <w:rPr>
          <w:sz w:val="24"/>
          <w:szCs w:val="24"/>
        </w:rPr>
        <w:t>glukosa</w:t>
      </w:r>
      <w:proofErr w:type="spellEnd"/>
      <w:r w:rsidRPr="00820F70">
        <w:rPr>
          <w:sz w:val="24"/>
          <w:szCs w:val="24"/>
        </w:rPr>
        <w:t xml:space="preserve"> di </w:t>
      </w:r>
      <w:proofErr w:type="spellStart"/>
      <w:r w:rsidRPr="00820F70">
        <w:rPr>
          <w:sz w:val="24"/>
          <w:szCs w:val="24"/>
        </w:rPr>
        <w:t>hati</w:t>
      </w:r>
      <w:proofErr w:type="spellEnd"/>
      <w:r w:rsidRPr="00820F70">
        <w:rPr>
          <w:sz w:val="24"/>
          <w:szCs w:val="24"/>
        </w:rPr>
        <w:t xml:space="preserve">. Ketika metformin </w:t>
      </w:r>
      <w:proofErr w:type="spellStart"/>
      <w:r w:rsidRPr="00820F70">
        <w:rPr>
          <w:sz w:val="24"/>
          <w:szCs w:val="24"/>
        </w:rPr>
        <w:t>diberikan</w:t>
      </w:r>
      <w:proofErr w:type="spellEnd"/>
      <w:r w:rsidRPr="00820F70">
        <w:rPr>
          <w:sz w:val="24"/>
          <w:szCs w:val="24"/>
        </w:rPr>
        <w:t xml:space="preserve"> </w:t>
      </w:r>
      <w:proofErr w:type="spellStart"/>
      <w:r w:rsidRPr="00820F70">
        <w:rPr>
          <w:sz w:val="24"/>
          <w:szCs w:val="24"/>
        </w:rPr>
        <w:t>secara</w:t>
      </w:r>
      <w:proofErr w:type="spellEnd"/>
      <w:r w:rsidRPr="00820F70">
        <w:rPr>
          <w:sz w:val="24"/>
          <w:szCs w:val="24"/>
        </w:rPr>
        <w:t xml:space="preserve"> oral, metformin </w:t>
      </w:r>
      <w:proofErr w:type="spellStart"/>
      <w:r w:rsidRPr="00820F70">
        <w:rPr>
          <w:sz w:val="24"/>
          <w:szCs w:val="24"/>
        </w:rPr>
        <w:t>diserap</w:t>
      </w:r>
      <w:proofErr w:type="spellEnd"/>
      <w:r w:rsidRPr="00820F70">
        <w:rPr>
          <w:sz w:val="24"/>
          <w:szCs w:val="24"/>
        </w:rPr>
        <w:t xml:space="preserve"> </w:t>
      </w:r>
      <w:proofErr w:type="spellStart"/>
      <w:r w:rsidRPr="00820F70">
        <w:rPr>
          <w:sz w:val="24"/>
          <w:szCs w:val="24"/>
        </w:rPr>
        <w:t>ke</w:t>
      </w:r>
      <w:proofErr w:type="spellEnd"/>
      <w:r w:rsidRPr="00820F70">
        <w:rPr>
          <w:sz w:val="24"/>
          <w:szCs w:val="24"/>
        </w:rPr>
        <w:t xml:space="preserve"> </w:t>
      </w:r>
      <w:proofErr w:type="spellStart"/>
      <w:r w:rsidRPr="00820F70">
        <w:rPr>
          <w:sz w:val="24"/>
          <w:szCs w:val="24"/>
        </w:rPr>
        <w:t>dalam</w:t>
      </w:r>
      <w:proofErr w:type="spellEnd"/>
      <w:r w:rsidRPr="00820F70">
        <w:rPr>
          <w:sz w:val="24"/>
          <w:szCs w:val="24"/>
        </w:rPr>
        <w:t xml:space="preserve"> </w:t>
      </w:r>
      <w:proofErr w:type="spellStart"/>
      <w:r w:rsidRPr="00820F70">
        <w:rPr>
          <w:sz w:val="24"/>
          <w:szCs w:val="24"/>
        </w:rPr>
        <w:t>membran</w:t>
      </w:r>
      <w:proofErr w:type="spellEnd"/>
      <w:r w:rsidRPr="00820F70">
        <w:rPr>
          <w:sz w:val="24"/>
          <w:szCs w:val="24"/>
        </w:rPr>
        <w:t xml:space="preserve"> </w:t>
      </w:r>
      <w:proofErr w:type="spellStart"/>
      <w:r w:rsidRPr="00820F70">
        <w:rPr>
          <w:sz w:val="24"/>
          <w:szCs w:val="24"/>
        </w:rPr>
        <w:t>hepatosit</w:t>
      </w:r>
      <w:proofErr w:type="spellEnd"/>
      <w:r w:rsidRPr="00820F70">
        <w:rPr>
          <w:sz w:val="24"/>
          <w:szCs w:val="24"/>
        </w:rPr>
        <w:t xml:space="preserve"> </w:t>
      </w:r>
      <w:proofErr w:type="spellStart"/>
      <w:r w:rsidRPr="00820F70">
        <w:rPr>
          <w:sz w:val="24"/>
          <w:szCs w:val="24"/>
        </w:rPr>
        <w:t>dari</w:t>
      </w:r>
      <w:proofErr w:type="spellEnd"/>
      <w:r w:rsidRPr="00820F70">
        <w:rPr>
          <w:sz w:val="24"/>
          <w:szCs w:val="24"/>
        </w:rPr>
        <w:t xml:space="preserve"> vena porta </w:t>
      </w:r>
      <w:proofErr w:type="spellStart"/>
      <w:r w:rsidRPr="00820F70">
        <w:rPr>
          <w:sz w:val="24"/>
          <w:szCs w:val="24"/>
        </w:rPr>
        <w:t>melalui</w:t>
      </w:r>
      <w:proofErr w:type="spellEnd"/>
      <w:r w:rsidRPr="00820F70">
        <w:rPr>
          <w:sz w:val="24"/>
          <w:szCs w:val="24"/>
        </w:rPr>
        <w:t xml:space="preserve"> </w:t>
      </w:r>
      <w:r w:rsidRPr="002F43AE">
        <w:rPr>
          <w:i/>
          <w:iCs/>
          <w:sz w:val="24"/>
          <w:szCs w:val="24"/>
        </w:rPr>
        <w:t>Organic Cation Transporter 1</w:t>
      </w:r>
      <w:r w:rsidRPr="00820F70">
        <w:rPr>
          <w:sz w:val="24"/>
          <w:szCs w:val="24"/>
        </w:rPr>
        <w:t xml:space="preserve"> (OCT1). </w:t>
      </w:r>
    </w:p>
    <w:p w14:paraId="32F0CD2A" w14:textId="77777777" w:rsidR="002F43AE" w:rsidRDefault="002F43AE" w:rsidP="002F43AE">
      <w:pPr>
        <w:jc w:val="both"/>
        <w:rPr>
          <w:sz w:val="24"/>
          <w:szCs w:val="24"/>
        </w:rPr>
      </w:pPr>
      <w:r w:rsidRPr="00820F70">
        <w:rPr>
          <w:sz w:val="24"/>
          <w:szCs w:val="24"/>
        </w:rPr>
        <w:t xml:space="preserve">Di </w:t>
      </w:r>
      <w:proofErr w:type="spellStart"/>
      <w:r w:rsidRPr="00820F70">
        <w:rPr>
          <w:sz w:val="24"/>
          <w:szCs w:val="24"/>
        </w:rPr>
        <w:t>dalam</w:t>
      </w:r>
      <w:proofErr w:type="spellEnd"/>
      <w:r w:rsidRPr="00820F70">
        <w:rPr>
          <w:sz w:val="24"/>
          <w:szCs w:val="24"/>
        </w:rPr>
        <w:t xml:space="preserve"> </w:t>
      </w:r>
      <w:proofErr w:type="spellStart"/>
      <w:r w:rsidRPr="00820F70">
        <w:rPr>
          <w:sz w:val="24"/>
          <w:szCs w:val="24"/>
        </w:rPr>
        <w:t>sel</w:t>
      </w:r>
      <w:proofErr w:type="spellEnd"/>
      <w:r w:rsidRPr="00820F70">
        <w:rPr>
          <w:sz w:val="24"/>
          <w:szCs w:val="24"/>
        </w:rPr>
        <w:t xml:space="preserve">, metformin </w:t>
      </w:r>
      <w:proofErr w:type="spellStart"/>
      <w:r w:rsidRPr="00820F70">
        <w:rPr>
          <w:sz w:val="24"/>
          <w:szCs w:val="24"/>
        </w:rPr>
        <w:t>menghambat</w:t>
      </w:r>
      <w:proofErr w:type="spellEnd"/>
      <w:r w:rsidRPr="00820F70">
        <w:rPr>
          <w:sz w:val="24"/>
          <w:szCs w:val="24"/>
        </w:rPr>
        <w:t xml:space="preserve"> </w:t>
      </w:r>
      <w:proofErr w:type="spellStart"/>
      <w:r w:rsidRPr="00820F70">
        <w:rPr>
          <w:sz w:val="24"/>
          <w:szCs w:val="24"/>
        </w:rPr>
        <w:t>kompleks</w:t>
      </w:r>
      <w:proofErr w:type="spellEnd"/>
      <w:r w:rsidRPr="00820F70">
        <w:rPr>
          <w:sz w:val="24"/>
          <w:szCs w:val="24"/>
        </w:rPr>
        <w:t xml:space="preserve"> </w:t>
      </w:r>
      <w:proofErr w:type="spellStart"/>
      <w:r w:rsidRPr="00820F70">
        <w:rPr>
          <w:sz w:val="24"/>
          <w:szCs w:val="24"/>
        </w:rPr>
        <w:t>elektron</w:t>
      </w:r>
      <w:proofErr w:type="spellEnd"/>
      <w:r w:rsidRPr="00820F70">
        <w:rPr>
          <w:sz w:val="24"/>
          <w:szCs w:val="24"/>
        </w:rPr>
        <w:t xml:space="preserve"> 1 </w:t>
      </w:r>
      <w:proofErr w:type="spellStart"/>
      <w:r w:rsidRPr="00820F70">
        <w:rPr>
          <w:sz w:val="24"/>
          <w:szCs w:val="24"/>
        </w:rPr>
        <w:t>mitokondria</w:t>
      </w:r>
      <w:proofErr w:type="spellEnd"/>
      <w:r w:rsidRPr="00820F70">
        <w:rPr>
          <w:sz w:val="24"/>
          <w:szCs w:val="24"/>
        </w:rPr>
        <w:t xml:space="preserve">, </w:t>
      </w:r>
      <w:proofErr w:type="spellStart"/>
      <w:r w:rsidRPr="00820F70">
        <w:rPr>
          <w:sz w:val="24"/>
          <w:szCs w:val="24"/>
        </w:rPr>
        <w:t>sehingga</w:t>
      </w:r>
      <w:proofErr w:type="spellEnd"/>
      <w:r w:rsidRPr="00820F70">
        <w:rPr>
          <w:sz w:val="24"/>
          <w:szCs w:val="24"/>
        </w:rPr>
        <w:t xml:space="preserve"> </w:t>
      </w:r>
      <w:proofErr w:type="spellStart"/>
      <w:r w:rsidRPr="00820F70">
        <w:rPr>
          <w:sz w:val="24"/>
          <w:szCs w:val="24"/>
        </w:rPr>
        <w:t>menurunkan</w:t>
      </w:r>
      <w:proofErr w:type="spellEnd"/>
      <w:r w:rsidRPr="00820F70">
        <w:rPr>
          <w:sz w:val="24"/>
          <w:szCs w:val="24"/>
        </w:rPr>
        <w:t xml:space="preserve"> </w:t>
      </w:r>
      <w:proofErr w:type="spellStart"/>
      <w:r w:rsidRPr="00820F70">
        <w:rPr>
          <w:sz w:val="24"/>
          <w:szCs w:val="24"/>
        </w:rPr>
        <w:t>kadar</w:t>
      </w:r>
      <w:proofErr w:type="spellEnd"/>
      <w:r w:rsidRPr="00820F70">
        <w:rPr>
          <w:sz w:val="24"/>
          <w:szCs w:val="24"/>
        </w:rPr>
        <w:t xml:space="preserve"> ATP dan </w:t>
      </w:r>
      <w:proofErr w:type="spellStart"/>
      <w:r w:rsidRPr="00820F70">
        <w:rPr>
          <w:sz w:val="24"/>
          <w:szCs w:val="24"/>
        </w:rPr>
        <w:t>meningkatkan</w:t>
      </w:r>
      <w:proofErr w:type="spellEnd"/>
      <w:r w:rsidRPr="00820F70">
        <w:rPr>
          <w:sz w:val="24"/>
          <w:szCs w:val="24"/>
        </w:rPr>
        <w:t xml:space="preserve"> AMP. </w:t>
      </w:r>
      <w:proofErr w:type="spellStart"/>
      <w:r w:rsidRPr="00820F70">
        <w:rPr>
          <w:sz w:val="24"/>
          <w:szCs w:val="24"/>
        </w:rPr>
        <w:t>Peningkatan</w:t>
      </w:r>
      <w:proofErr w:type="spellEnd"/>
      <w:r w:rsidRPr="00820F70">
        <w:rPr>
          <w:sz w:val="24"/>
          <w:szCs w:val="24"/>
        </w:rPr>
        <w:t xml:space="preserve"> </w:t>
      </w:r>
      <w:proofErr w:type="spellStart"/>
      <w:r w:rsidRPr="00820F70">
        <w:rPr>
          <w:sz w:val="24"/>
          <w:szCs w:val="24"/>
        </w:rPr>
        <w:t>kadar</w:t>
      </w:r>
      <w:proofErr w:type="spellEnd"/>
      <w:r w:rsidRPr="00820F70">
        <w:rPr>
          <w:sz w:val="24"/>
          <w:szCs w:val="24"/>
        </w:rPr>
        <w:t xml:space="preserve"> AMP </w:t>
      </w:r>
      <w:proofErr w:type="spellStart"/>
      <w:r w:rsidRPr="00820F70">
        <w:rPr>
          <w:sz w:val="24"/>
          <w:szCs w:val="24"/>
        </w:rPr>
        <w:t>mengaktifkan</w:t>
      </w:r>
      <w:proofErr w:type="spellEnd"/>
      <w:r w:rsidRPr="00820F70">
        <w:rPr>
          <w:sz w:val="24"/>
          <w:szCs w:val="24"/>
        </w:rPr>
        <w:t xml:space="preserve"> Adenosine Monophosphate Protein Kinase (AMPK), yang </w:t>
      </w:r>
      <w:proofErr w:type="spellStart"/>
      <w:r w:rsidRPr="00820F70">
        <w:rPr>
          <w:sz w:val="24"/>
          <w:szCs w:val="24"/>
        </w:rPr>
        <w:t>berkontribusi</w:t>
      </w:r>
      <w:proofErr w:type="spellEnd"/>
      <w:r w:rsidRPr="00820F70">
        <w:rPr>
          <w:sz w:val="24"/>
          <w:szCs w:val="24"/>
        </w:rPr>
        <w:t xml:space="preserve"> pada </w:t>
      </w:r>
      <w:proofErr w:type="spellStart"/>
      <w:r w:rsidRPr="00820F70">
        <w:rPr>
          <w:sz w:val="24"/>
          <w:szCs w:val="24"/>
        </w:rPr>
        <w:t>penurunan</w:t>
      </w:r>
      <w:proofErr w:type="spellEnd"/>
      <w:r w:rsidRPr="00820F70">
        <w:rPr>
          <w:sz w:val="24"/>
          <w:szCs w:val="24"/>
        </w:rPr>
        <w:t xml:space="preserve"> </w:t>
      </w:r>
      <w:proofErr w:type="spellStart"/>
      <w:r w:rsidRPr="00820F70">
        <w:rPr>
          <w:sz w:val="24"/>
          <w:szCs w:val="24"/>
        </w:rPr>
        <w:t>produksi</w:t>
      </w:r>
      <w:proofErr w:type="spellEnd"/>
      <w:r w:rsidRPr="00820F70">
        <w:rPr>
          <w:sz w:val="24"/>
          <w:szCs w:val="24"/>
        </w:rPr>
        <w:t xml:space="preserve"> </w:t>
      </w:r>
      <w:proofErr w:type="spellStart"/>
      <w:r w:rsidRPr="00820F70">
        <w:rPr>
          <w:sz w:val="24"/>
          <w:szCs w:val="24"/>
        </w:rPr>
        <w:t>glukosa</w:t>
      </w:r>
      <w:proofErr w:type="spellEnd"/>
      <w:r w:rsidRPr="00820F70">
        <w:rPr>
          <w:sz w:val="24"/>
          <w:szCs w:val="24"/>
        </w:rPr>
        <w:t xml:space="preserve"> </w:t>
      </w:r>
      <w:proofErr w:type="spellStart"/>
      <w:r w:rsidRPr="00820F70">
        <w:rPr>
          <w:sz w:val="24"/>
          <w:szCs w:val="24"/>
        </w:rPr>
        <w:t>melalui</w:t>
      </w:r>
      <w:proofErr w:type="spellEnd"/>
      <w:r w:rsidRPr="00820F70">
        <w:rPr>
          <w:sz w:val="24"/>
          <w:szCs w:val="24"/>
        </w:rPr>
        <w:t xml:space="preserve"> 2 </w:t>
      </w:r>
      <w:proofErr w:type="spellStart"/>
      <w:r w:rsidRPr="00820F70">
        <w:rPr>
          <w:sz w:val="24"/>
          <w:szCs w:val="24"/>
        </w:rPr>
        <w:t>jalur</w:t>
      </w:r>
      <w:proofErr w:type="spellEnd"/>
      <w:r w:rsidRPr="00820F70">
        <w:rPr>
          <w:sz w:val="24"/>
          <w:szCs w:val="24"/>
        </w:rPr>
        <w:t xml:space="preserve">. Jalur </w:t>
      </w:r>
      <w:proofErr w:type="spellStart"/>
      <w:r w:rsidRPr="00820F70">
        <w:rPr>
          <w:sz w:val="24"/>
          <w:szCs w:val="24"/>
        </w:rPr>
        <w:t>pertama</w:t>
      </w:r>
      <w:proofErr w:type="spellEnd"/>
      <w:r w:rsidRPr="00820F70">
        <w:rPr>
          <w:sz w:val="24"/>
          <w:szCs w:val="24"/>
        </w:rPr>
        <w:t xml:space="preserve"> </w:t>
      </w:r>
      <w:proofErr w:type="spellStart"/>
      <w:r w:rsidRPr="00820F70">
        <w:rPr>
          <w:sz w:val="24"/>
          <w:szCs w:val="24"/>
        </w:rPr>
        <w:t>yaitu</w:t>
      </w:r>
      <w:proofErr w:type="spellEnd"/>
      <w:r w:rsidRPr="00820F70">
        <w:rPr>
          <w:sz w:val="24"/>
          <w:szCs w:val="24"/>
        </w:rPr>
        <w:t xml:space="preserve"> </w:t>
      </w:r>
      <w:proofErr w:type="spellStart"/>
      <w:r w:rsidRPr="00820F70">
        <w:rPr>
          <w:sz w:val="24"/>
          <w:szCs w:val="24"/>
        </w:rPr>
        <w:t>peningkatan</w:t>
      </w:r>
      <w:proofErr w:type="spellEnd"/>
      <w:r w:rsidRPr="00820F70">
        <w:rPr>
          <w:sz w:val="24"/>
          <w:szCs w:val="24"/>
        </w:rPr>
        <w:t xml:space="preserve"> </w:t>
      </w:r>
      <w:proofErr w:type="spellStart"/>
      <w:r w:rsidRPr="00820F70">
        <w:rPr>
          <w:sz w:val="24"/>
          <w:szCs w:val="24"/>
        </w:rPr>
        <w:t>fosforilasi</w:t>
      </w:r>
      <w:proofErr w:type="spellEnd"/>
      <w:r w:rsidRPr="00820F70">
        <w:rPr>
          <w:sz w:val="24"/>
          <w:szCs w:val="24"/>
        </w:rPr>
        <w:t xml:space="preserve"> AMPK </w:t>
      </w:r>
      <w:proofErr w:type="spellStart"/>
      <w:r w:rsidRPr="00820F70">
        <w:rPr>
          <w:sz w:val="24"/>
          <w:szCs w:val="24"/>
        </w:rPr>
        <w:t>faktor</w:t>
      </w:r>
      <w:proofErr w:type="spellEnd"/>
      <w:r w:rsidRPr="00820F70">
        <w:rPr>
          <w:sz w:val="24"/>
          <w:szCs w:val="24"/>
        </w:rPr>
        <w:t xml:space="preserve"> </w:t>
      </w:r>
      <w:r>
        <w:rPr>
          <w:sz w:val="24"/>
          <w:szCs w:val="24"/>
        </w:rPr>
        <w:t xml:space="preserve">yang </w:t>
      </w:r>
      <w:proofErr w:type="spellStart"/>
      <w:r>
        <w:rPr>
          <w:sz w:val="24"/>
          <w:szCs w:val="24"/>
        </w:rPr>
        <w:t>akan</w:t>
      </w:r>
      <w:proofErr w:type="spellEnd"/>
      <w:r>
        <w:rPr>
          <w:sz w:val="24"/>
          <w:szCs w:val="24"/>
        </w:rPr>
        <w:t xml:space="preserve"> </w:t>
      </w:r>
      <w:proofErr w:type="spellStart"/>
      <w:r>
        <w:rPr>
          <w:sz w:val="24"/>
          <w:szCs w:val="24"/>
        </w:rPr>
        <w:t>mengaktifkan</w:t>
      </w:r>
      <w:proofErr w:type="spellEnd"/>
      <w:r>
        <w:rPr>
          <w:sz w:val="24"/>
          <w:szCs w:val="24"/>
        </w:rPr>
        <w:t xml:space="preserve"> </w:t>
      </w:r>
      <w:proofErr w:type="spellStart"/>
      <w:r w:rsidRPr="00820F70">
        <w:rPr>
          <w:sz w:val="24"/>
          <w:szCs w:val="24"/>
        </w:rPr>
        <w:t>transkripsi</w:t>
      </w:r>
      <w:proofErr w:type="spellEnd"/>
      <w:r w:rsidRPr="00820F70">
        <w:rPr>
          <w:sz w:val="24"/>
          <w:szCs w:val="24"/>
        </w:rPr>
        <w:t xml:space="preserve"> CBP dan CRTC2, yang </w:t>
      </w:r>
      <w:proofErr w:type="spellStart"/>
      <w:r w:rsidRPr="00820F70">
        <w:rPr>
          <w:sz w:val="24"/>
          <w:szCs w:val="24"/>
        </w:rPr>
        <w:t>menghambat</w:t>
      </w:r>
      <w:proofErr w:type="spellEnd"/>
      <w:r w:rsidRPr="00820F70">
        <w:rPr>
          <w:sz w:val="24"/>
          <w:szCs w:val="24"/>
        </w:rPr>
        <w:t xml:space="preserve"> gen yang </w:t>
      </w:r>
      <w:proofErr w:type="spellStart"/>
      <w:r w:rsidRPr="00820F70">
        <w:rPr>
          <w:sz w:val="24"/>
          <w:szCs w:val="24"/>
        </w:rPr>
        <w:t>terlibat</w:t>
      </w:r>
      <w:proofErr w:type="spellEnd"/>
      <w:r w:rsidRPr="00820F70">
        <w:rPr>
          <w:sz w:val="24"/>
          <w:szCs w:val="24"/>
        </w:rPr>
        <w:t xml:space="preserve"> </w:t>
      </w:r>
      <w:proofErr w:type="spellStart"/>
      <w:r w:rsidRPr="00820F70">
        <w:rPr>
          <w:sz w:val="24"/>
          <w:szCs w:val="24"/>
        </w:rPr>
        <w:t>dalam</w:t>
      </w:r>
      <w:proofErr w:type="spellEnd"/>
      <w:r w:rsidRPr="00820F70">
        <w:rPr>
          <w:sz w:val="24"/>
          <w:szCs w:val="24"/>
        </w:rPr>
        <w:t xml:space="preserve"> </w:t>
      </w:r>
      <w:proofErr w:type="spellStart"/>
      <w:r w:rsidRPr="00820F70">
        <w:rPr>
          <w:sz w:val="24"/>
          <w:szCs w:val="24"/>
        </w:rPr>
        <w:t>produksi</w:t>
      </w:r>
      <w:proofErr w:type="spellEnd"/>
      <w:r w:rsidRPr="00820F70">
        <w:rPr>
          <w:sz w:val="24"/>
          <w:szCs w:val="24"/>
        </w:rPr>
        <w:t xml:space="preserve"> </w:t>
      </w:r>
      <w:proofErr w:type="spellStart"/>
      <w:r w:rsidRPr="00820F70">
        <w:rPr>
          <w:sz w:val="24"/>
          <w:szCs w:val="24"/>
        </w:rPr>
        <w:t>glukosa</w:t>
      </w:r>
      <w:proofErr w:type="spellEnd"/>
      <w:r w:rsidRPr="00820F70">
        <w:rPr>
          <w:sz w:val="24"/>
          <w:szCs w:val="24"/>
        </w:rPr>
        <w:t xml:space="preserve"> (</w:t>
      </w:r>
      <w:proofErr w:type="spellStart"/>
      <w:r w:rsidRPr="00820F70">
        <w:rPr>
          <w:sz w:val="24"/>
          <w:szCs w:val="24"/>
        </w:rPr>
        <w:t>glukoneogenik</w:t>
      </w:r>
      <w:proofErr w:type="spellEnd"/>
      <w:r w:rsidRPr="00820F70">
        <w:rPr>
          <w:sz w:val="24"/>
          <w:szCs w:val="24"/>
        </w:rPr>
        <w:t xml:space="preserve">). Jalur yang </w:t>
      </w:r>
      <w:proofErr w:type="spellStart"/>
      <w:r w:rsidRPr="00820F70">
        <w:rPr>
          <w:sz w:val="24"/>
          <w:szCs w:val="24"/>
        </w:rPr>
        <w:t>kedua</w:t>
      </w:r>
      <w:proofErr w:type="spellEnd"/>
      <w:r w:rsidRPr="00820F70">
        <w:rPr>
          <w:sz w:val="24"/>
          <w:szCs w:val="24"/>
        </w:rPr>
        <w:t xml:space="preserve"> </w:t>
      </w:r>
      <w:proofErr w:type="spellStart"/>
      <w:r w:rsidRPr="00820F70">
        <w:rPr>
          <w:sz w:val="24"/>
          <w:szCs w:val="24"/>
        </w:rPr>
        <w:t>yaitu</w:t>
      </w:r>
      <w:proofErr w:type="spellEnd"/>
      <w:r w:rsidRPr="00820F70">
        <w:rPr>
          <w:sz w:val="24"/>
          <w:szCs w:val="24"/>
        </w:rPr>
        <w:t xml:space="preserve"> </w:t>
      </w:r>
      <w:proofErr w:type="spellStart"/>
      <w:r w:rsidRPr="00820F70">
        <w:rPr>
          <w:sz w:val="24"/>
          <w:szCs w:val="24"/>
        </w:rPr>
        <w:t>peningkatan</w:t>
      </w:r>
      <w:proofErr w:type="spellEnd"/>
      <w:r w:rsidRPr="00820F70">
        <w:rPr>
          <w:sz w:val="24"/>
          <w:szCs w:val="24"/>
        </w:rPr>
        <w:t xml:space="preserve"> AMPK juga </w:t>
      </w:r>
      <w:proofErr w:type="spellStart"/>
      <w:r w:rsidRPr="00820F70">
        <w:rPr>
          <w:sz w:val="24"/>
          <w:szCs w:val="24"/>
        </w:rPr>
        <w:t>menghambat</w:t>
      </w:r>
      <w:proofErr w:type="spellEnd"/>
      <w:r w:rsidRPr="00820F70">
        <w:rPr>
          <w:sz w:val="24"/>
          <w:szCs w:val="24"/>
        </w:rPr>
        <w:t xml:space="preserve"> </w:t>
      </w:r>
      <w:proofErr w:type="spellStart"/>
      <w:r w:rsidRPr="00820F70">
        <w:rPr>
          <w:sz w:val="24"/>
          <w:szCs w:val="24"/>
        </w:rPr>
        <w:t>mitokondria</w:t>
      </w:r>
      <w:proofErr w:type="spellEnd"/>
      <w:r w:rsidRPr="00820F70">
        <w:rPr>
          <w:sz w:val="24"/>
          <w:szCs w:val="24"/>
        </w:rPr>
        <w:t xml:space="preserve"> gliserol-3-fosfat </w:t>
      </w:r>
      <w:proofErr w:type="spellStart"/>
      <w:r w:rsidRPr="00820F70">
        <w:rPr>
          <w:sz w:val="24"/>
          <w:szCs w:val="24"/>
        </w:rPr>
        <w:t>dehidrogenase</w:t>
      </w:r>
      <w:proofErr w:type="spellEnd"/>
      <w:r w:rsidRPr="00820F70">
        <w:rPr>
          <w:sz w:val="24"/>
          <w:szCs w:val="24"/>
        </w:rPr>
        <w:t xml:space="preserve"> (</w:t>
      </w:r>
      <w:proofErr w:type="spellStart"/>
      <w:r w:rsidRPr="00820F70">
        <w:rPr>
          <w:sz w:val="24"/>
          <w:szCs w:val="24"/>
        </w:rPr>
        <w:t>mGPD</w:t>
      </w:r>
      <w:proofErr w:type="spellEnd"/>
      <w:r w:rsidRPr="00820F70">
        <w:rPr>
          <w:sz w:val="24"/>
          <w:szCs w:val="24"/>
        </w:rPr>
        <w:t xml:space="preserve">), yang </w:t>
      </w:r>
      <w:proofErr w:type="spellStart"/>
      <w:r w:rsidRPr="00820F70">
        <w:rPr>
          <w:sz w:val="24"/>
          <w:szCs w:val="24"/>
        </w:rPr>
        <w:t>mengarah</w:t>
      </w:r>
      <w:proofErr w:type="spellEnd"/>
      <w:r w:rsidRPr="00820F70">
        <w:rPr>
          <w:sz w:val="24"/>
          <w:szCs w:val="24"/>
        </w:rPr>
        <w:t xml:space="preserve"> pada </w:t>
      </w:r>
      <w:proofErr w:type="spellStart"/>
      <w:r w:rsidRPr="00820F70">
        <w:rPr>
          <w:sz w:val="24"/>
          <w:szCs w:val="24"/>
        </w:rPr>
        <w:t>peningkatan</w:t>
      </w:r>
      <w:proofErr w:type="spellEnd"/>
      <w:r w:rsidRPr="00820F70">
        <w:rPr>
          <w:sz w:val="24"/>
          <w:szCs w:val="24"/>
        </w:rPr>
        <w:t xml:space="preserve"> NADH </w:t>
      </w:r>
      <w:proofErr w:type="spellStart"/>
      <w:r w:rsidRPr="00820F70">
        <w:rPr>
          <w:sz w:val="24"/>
          <w:szCs w:val="24"/>
        </w:rPr>
        <w:t>sitosolik</w:t>
      </w:r>
      <w:proofErr w:type="spellEnd"/>
      <w:r w:rsidRPr="00820F70">
        <w:rPr>
          <w:sz w:val="24"/>
          <w:szCs w:val="24"/>
        </w:rPr>
        <w:t xml:space="preserve">, yang </w:t>
      </w:r>
      <w:proofErr w:type="spellStart"/>
      <w:r w:rsidRPr="00820F70">
        <w:rPr>
          <w:sz w:val="24"/>
          <w:szCs w:val="24"/>
        </w:rPr>
        <w:t>keduanya</w:t>
      </w:r>
      <w:proofErr w:type="spellEnd"/>
      <w:r w:rsidRPr="00820F70">
        <w:rPr>
          <w:sz w:val="24"/>
          <w:szCs w:val="24"/>
        </w:rPr>
        <w:t xml:space="preserve"> </w:t>
      </w:r>
      <w:proofErr w:type="spellStart"/>
      <w:r w:rsidRPr="00820F70">
        <w:rPr>
          <w:sz w:val="24"/>
          <w:szCs w:val="24"/>
        </w:rPr>
        <w:t>menstimulasi</w:t>
      </w:r>
      <w:proofErr w:type="spellEnd"/>
      <w:r w:rsidRPr="00820F70">
        <w:rPr>
          <w:sz w:val="24"/>
          <w:szCs w:val="24"/>
        </w:rPr>
        <w:t xml:space="preserve"> </w:t>
      </w:r>
      <w:proofErr w:type="spellStart"/>
      <w:r w:rsidRPr="00820F70">
        <w:rPr>
          <w:sz w:val="24"/>
          <w:szCs w:val="24"/>
        </w:rPr>
        <w:t>konversi</w:t>
      </w:r>
      <w:proofErr w:type="spellEnd"/>
      <w:r w:rsidRPr="00820F70">
        <w:rPr>
          <w:sz w:val="24"/>
          <w:szCs w:val="24"/>
        </w:rPr>
        <w:t xml:space="preserve"> </w:t>
      </w:r>
      <w:proofErr w:type="spellStart"/>
      <w:r w:rsidRPr="00820F70">
        <w:rPr>
          <w:sz w:val="24"/>
          <w:szCs w:val="24"/>
        </w:rPr>
        <w:t>piruvat</w:t>
      </w:r>
      <w:proofErr w:type="spellEnd"/>
      <w:r w:rsidRPr="00820F70">
        <w:rPr>
          <w:sz w:val="24"/>
          <w:szCs w:val="24"/>
        </w:rPr>
        <w:t xml:space="preserve"> </w:t>
      </w:r>
      <w:proofErr w:type="spellStart"/>
      <w:r w:rsidRPr="00820F70">
        <w:rPr>
          <w:sz w:val="24"/>
          <w:szCs w:val="24"/>
        </w:rPr>
        <w:t>menjadi</w:t>
      </w:r>
      <w:proofErr w:type="spellEnd"/>
      <w:r w:rsidRPr="00820F70">
        <w:rPr>
          <w:sz w:val="24"/>
          <w:szCs w:val="24"/>
        </w:rPr>
        <w:t xml:space="preserve"> </w:t>
      </w:r>
      <w:proofErr w:type="spellStart"/>
      <w:r w:rsidRPr="00820F70">
        <w:rPr>
          <w:sz w:val="24"/>
          <w:szCs w:val="24"/>
        </w:rPr>
        <w:t>laktat</w:t>
      </w:r>
      <w:proofErr w:type="spellEnd"/>
      <w:r w:rsidRPr="00820F70">
        <w:rPr>
          <w:sz w:val="24"/>
          <w:szCs w:val="24"/>
        </w:rPr>
        <w:t xml:space="preserve">, dan </w:t>
      </w:r>
      <w:proofErr w:type="spellStart"/>
      <w:r w:rsidRPr="00820F70">
        <w:rPr>
          <w:sz w:val="24"/>
          <w:szCs w:val="24"/>
        </w:rPr>
        <w:t>secara</w:t>
      </w:r>
      <w:proofErr w:type="spellEnd"/>
      <w:r w:rsidRPr="00820F70">
        <w:rPr>
          <w:sz w:val="24"/>
          <w:szCs w:val="24"/>
        </w:rPr>
        <w:t xml:space="preserve"> </w:t>
      </w:r>
      <w:proofErr w:type="spellStart"/>
      <w:r w:rsidRPr="00820F70">
        <w:rPr>
          <w:sz w:val="24"/>
          <w:szCs w:val="24"/>
        </w:rPr>
        <w:t>bertahap</w:t>
      </w:r>
      <w:proofErr w:type="spellEnd"/>
      <w:r w:rsidRPr="00820F70">
        <w:rPr>
          <w:sz w:val="24"/>
          <w:szCs w:val="24"/>
        </w:rPr>
        <w:t xml:space="preserve"> </w:t>
      </w:r>
      <w:proofErr w:type="spellStart"/>
      <w:r w:rsidRPr="00820F70">
        <w:rPr>
          <w:sz w:val="24"/>
          <w:szCs w:val="24"/>
        </w:rPr>
        <w:t>menurunkan</w:t>
      </w:r>
      <w:proofErr w:type="spellEnd"/>
      <w:r w:rsidRPr="00820F70">
        <w:rPr>
          <w:sz w:val="24"/>
          <w:szCs w:val="24"/>
        </w:rPr>
        <w:t xml:space="preserve"> </w:t>
      </w:r>
      <w:proofErr w:type="spellStart"/>
      <w:r w:rsidRPr="00820F70">
        <w:rPr>
          <w:sz w:val="24"/>
          <w:szCs w:val="24"/>
        </w:rPr>
        <w:t>glukoneogenesis</w:t>
      </w:r>
      <w:proofErr w:type="spellEnd"/>
      <w:r w:rsidRPr="00820F70">
        <w:rPr>
          <w:sz w:val="24"/>
          <w:szCs w:val="24"/>
        </w:rPr>
        <w:t xml:space="preserve"> </w:t>
      </w:r>
      <w:r>
        <w:rPr>
          <w:b/>
          <w:sz w:val="24"/>
          <w:szCs w:val="24"/>
        </w:rPr>
        <w:fldChar w:fldCharType="begin" w:fldLock="1"/>
      </w:r>
      <w:r>
        <w:rPr>
          <w:sz w:val="24"/>
          <w:szCs w:val="24"/>
        </w:rPr>
        <w:instrText>ADDIN CSL_CITATION {"citationItems":[{"id":"ITEM-1","itemData":{"DOI":"10.1016/j.cmet.2015.01.003","ISSN":"19327420","PMID":"25651170","abstract":"Metformin has been used for nearly a century and is now the most widely prescribed oral anti-diabetic agent worldwide. Yet how metformin acts remains only partially understood and controversial. One key reason may be that almost all previous studies were conducted with supra-pharmacological concentrations (doses) of metformin, 10-100 times higher than maximally achievable therapeutic concentrations found in patients with type 2 diabetes mellitus.","author":[{"dropping-particle":"","family":"He","given":"Ling","non-dropping-particle":"","parse-names":false,"suffix":""},{"dropping-particle":"","family":"Wondisford","given":"Fredric E.","non-dropping-particle":"","parse-names":false,"suffix":""}],"container-title":"Cell Metabolism","id":"ITEM-1","issue":"2","issued":{"date-parts":[["2015"]]},"page":"159-162","publisher":"Elsevier Inc.","title":"Metformin action: Concentrations matter","type":"article-journal","volume":"21"},"uris":["http://www.mendeley.com/documents/?uuid=44da9d33-e11c-4f56-b174-31d3aeebc357"]},{"id":"ITEM-2","itemData":{"DOI":"10.3389/fphys.2018.01039","ISSN":"1664042X","abstract":"Metformin has been the first-line drug treatment for hyperglycemia and insulin resistance for over 50 years. However, the molecular basis of its therapeutic role remained incompletely understood. Recent advances demonstrate that metformin could exert its glucose-lowering effect by multiple mechanisms, including activation of 5′-AMP-activated protein kinase, decreasing production of cyclic AMP, suppressing mitochondrial complex I of the electron transport chain, targeting glycerophosphate dehydrogenase, and altering the gut microbiome. In addition, epidemiological and clinical observation studies suggest that metformin reduced cancer risk in patients with type 2 diabetes and improved survival outcome of human cancers. Experimental studies have shown that this drug can inhibit cancer cell viability, growth, and proliferation through inhibiting mTORC1 signaling and mitochondrial complex I, suggesting that it may be a promising drug candidate for malignancy. Here, we summarize recent progress in studies of metformin in type 2 diabetes and tumorigenesis, which provides novel insight on the therapeutic development of human diseases.","author":[{"dropping-particle":"","family":"Li","given":"Min","non-dropping-particle":"","parse-names":false,"suffix":""},{"dropping-particle":"","family":"Li","given":"Xiaoying","non-dropping-particle":"","parse-names":false,"suffix":""},{"dropping-particle":"","family":"Zhang","given":"Huijie","non-dropping-particle":"","parse-names":false,"suffix":""},{"dropping-particle":"","family":"Lu","given":"Yan","non-dropping-particle":"","parse-names":false,"suffix":""}],"container-title":"Frontiers in Physiology","id":"ITEM-2","issue":"July","issued":{"date-parts":[["2018"]]},"page":"1-7","title":"Molecular Mechanisms of Metformin for Diabetes and Cancer Treatment","type":"article-journal","volume":"9"},"uris":["http://www.mendeley.com/documents/?uuid=4530b9d3-5cfe-4211-af52-10875fc50a6c"]}],"mendeley":{"formattedCitation":"(He and Wondisford, 2015; Li &lt;i&gt;et al.&lt;/i&gt;, 2018)","plainTextFormattedCitation":"(He and Wondisford, 2015; Li et al., 2018)","previouslyFormattedCitation":"(15,16)"},"properties":{"noteIndex":0},"schema":"https://github.com/citation-style-language/schema/raw/master/csl-citation.json"}</w:instrText>
      </w:r>
      <w:r>
        <w:rPr>
          <w:b/>
          <w:sz w:val="24"/>
          <w:szCs w:val="24"/>
        </w:rPr>
        <w:fldChar w:fldCharType="separate"/>
      </w:r>
      <w:r w:rsidRPr="00DA390C">
        <w:rPr>
          <w:noProof/>
          <w:sz w:val="24"/>
          <w:szCs w:val="24"/>
        </w:rPr>
        <w:t xml:space="preserve">(He and Wondisford, 2015; Li </w:t>
      </w:r>
      <w:r w:rsidRPr="00DA390C">
        <w:rPr>
          <w:i/>
          <w:noProof/>
          <w:sz w:val="24"/>
          <w:szCs w:val="24"/>
        </w:rPr>
        <w:t>et al.</w:t>
      </w:r>
      <w:r w:rsidRPr="00DA390C">
        <w:rPr>
          <w:noProof/>
          <w:sz w:val="24"/>
          <w:szCs w:val="24"/>
        </w:rPr>
        <w:t>, 2018)</w:t>
      </w:r>
      <w:r>
        <w:rPr>
          <w:b/>
          <w:sz w:val="24"/>
          <w:szCs w:val="24"/>
        </w:rPr>
        <w:fldChar w:fldCharType="end"/>
      </w:r>
      <w:r>
        <w:rPr>
          <w:sz w:val="24"/>
          <w:szCs w:val="24"/>
        </w:rPr>
        <w:t xml:space="preserve">. </w:t>
      </w:r>
      <w:r w:rsidRPr="00E55EF8">
        <w:rPr>
          <w:sz w:val="24"/>
          <w:szCs w:val="24"/>
        </w:rPr>
        <w:t xml:space="preserve">Pada data </w:t>
      </w:r>
      <w:proofErr w:type="spellStart"/>
      <w:r w:rsidRPr="00E55EF8">
        <w:rPr>
          <w:sz w:val="24"/>
          <w:szCs w:val="24"/>
        </w:rPr>
        <w:t>hasil</w:t>
      </w:r>
      <w:proofErr w:type="spellEnd"/>
      <w:r w:rsidRPr="00E55EF8">
        <w:rPr>
          <w:sz w:val="24"/>
          <w:szCs w:val="24"/>
        </w:rPr>
        <w:t xml:space="preserve"> </w:t>
      </w:r>
      <w:proofErr w:type="spellStart"/>
      <w:r w:rsidRPr="00E55EF8">
        <w:rPr>
          <w:sz w:val="24"/>
          <w:szCs w:val="24"/>
        </w:rPr>
        <w:t>penelitian</w:t>
      </w:r>
      <w:proofErr w:type="spellEnd"/>
      <w:r w:rsidRPr="00E55EF8">
        <w:rPr>
          <w:sz w:val="24"/>
          <w:szCs w:val="24"/>
        </w:rPr>
        <w:t xml:space="preserve"> </w:t>
      </w:r>
      <w:proofErr w:type="spellStart"/>
      <w:r w:rsidRPr="00E55EF8">
        <w:rPr>
          <w:sz w:val="24"/>
          <w:szCs w:val="24"/>
        </w:rPr>
        <w:t>pemberian</w:t>
      </w:r>
      <w:proofErr w:type="spellEnd"/>
      <w:r w:rsidRPr="00E55EF8">
        <w:rPr>
          <w:sz w:val="24"/>
          <w:szCs w:val="24"/>
        </w:rPr>
        <w:t xml:space="preserve"> </w:t>
      </w:r>
      <w:proofErr w:type="spellStart"/>
      <w:r w:rsidRPr="00E55EF8">
        <w:rPr>
          <w:sz w:val="24"/>
          <w:szCs w:val="24"/>
        </w:rPr>
        <w:t>terapi</w:t>
      </w:r>
      <w:proofErr w:type="spellEnd"/>
      <w:r w:rsidRPr="00E55EF8">
        <w:rPr>
          <w:sz w:val="24"/>
          <w:szCs w:val="24"/>
        </w:rPr>
        <w:t xml:space="preserve"> </w:t>
      </w:r>
      <w:proofErr w:type="spellStart"/>
      <w:r w:rsidRPr="00E55EF8">
        <w:rPr>
          <w:sz w:val="24"/>
          <w:szCs w:val="24"/>
        </w:rPr>
        <w:t>kombinasi</w:t>
      </w:r>
      <w:proofErr w:type="spellEnd"/>
      <w:r w:rsidRPr="00E55EF8">
        <w:rPr>
          <w:sz w:val="24"/>
          <w:szCs w:val="24"/>
        </w:rPr>
        <w:t xml:space="preserve"> </w:t>
      </w:r>
      <w:proofErr w:type="spellStart"/>
      <w:r w:rsidRPr="00E55EF8">
        <w:rPr>
          <w:sz w:val="24"/>
          <w:szCs w:val="24"/>
        </w:rPr>
        <w:t>dapaglifozin</w:t>
      </w:r>
      <w:proofErr w:type="spellEnd"/>
      <w:r w:rsidRPr="00E55EF8">
        <w:rPr>
          <w:sz w:val="24"/>
          <w:szCs w:val="24"/>
        </w:rPr>
        <w:t xml:space="preserve"> </w:t>
      </w:r>
      <w:proofErr w:type="spellStart"/>
      <w:r w:rsidRPr="00E55EF8">
        <w:rPr>
          <w:sz w:val="24"/>
          <w:szCs w:val="24"/>
        </w:rPr>
        <w:t>dengan</w:t>
      </w:r>
      <w:proofErr w:type="spellEnd"/>
      <w:r w:rsidRPr="00E55EF8">
        <w:rPr>
          <w:sz w:val="24"/>
          <w:szCs w:val="24"/>
        </w:rPr>
        <w:t xml:space="preserve"> glimepiride </w:t>
      </w:r>
      <w:proofErr w:type="spellStart"/>
      <w:r w:rsidRPr="00E55EF8">
        <w:rPr>
          <w:sz w:val="24"/>
          <w:szCs w:val="24"/>
        </w:rPr>
        <w:t>menunjukan</w:t>
      </w:r>
      <w:proofErr w:type="spellEnd"/>
      <w:r w:rsidRPr="00E55EF8">
        <w:rPr>
          <w:sz w:val="24"/>
          <w:szCs w:val="24"/>
        </w:rPr>
        <w:t xml:space="preserve"> </w:t>
      </w:r>
      <w:proofErr w:type="spellStart"/>
      <w:r w:rsidRPr="00E55EF8">
        <w:rPr>
          <w:sz w:val="24"/>
          <w:szCs w:val="24"/>
        </w:rPr>
        <w:t>adanya</w:t>
      </w:r>
      <w:proofErr w:type="spellEnd"/>
      <w:r w:rsidRPr="00E55EF8">
        <w:rPr>
          <w:sz w:val="24"/>
          <w:szCs w:val="24"/>
        </w:rPr>
        <w:t xml:space="preserve"> </w:t>
      </w:r>
      <w:proofErr w:type="spellStart"/>
      <w:r w:rsidRPr="00E55EF8">
        <w:rPr>
          <w:sz w:val="24"/>
          <w:szCs w:val="24"/>
        </w:rPr>
        <w:t>penurunan</w:t>
      </w:r>
      <w:proofErr w:type="spellEnd"/>
      <w:r>
        <w:rPr>
          <w:sz w:val="24"/>
          <w:szCs w:val="24"/>
        </w:rPr>
        <w:t xml:space="preserve"> </w:t>
      </w:r>
      <w:proofErr w:type="spellStart"/>
      <w:r>
        <w:rPr>
          <w:sz w:val="24"/>
          <w:szCs w:val="24"/>
        </w:rPr>
        <w:t>kadar</w:t>
      </w:r>
      <w:proofErr w:type="spellEnd"/>
      <w:r>
        <w:rPr>
          <w:sz w:val="24"/>
          <w:szCs w:val="24"/>
        </w:rPr>
        <w:t xml:space="preserve"> gula </w:t>
      </w:r>
      <w:proofErr w:type="spellStart"/>
      <w:r>
        <w:rPr>
          <w:sz w:val="24"/>
          <w:szCs w:val="24"/>
        </w:rPr>
        <w:t>darah</w:t>
      </w:r>
      <w:proofErr w:type="spellEnd"/>
      <w:r>
        <w:rPr>
          <w:sz w:val="24"/>
          <w:szCs w:val="24"/>
        </w:rPr>
        <w:t xml:space="preserve"> </w:t>
      </w:r>
      <w:proofErr w:type="spellStart"/>
      <w:r>
        <w:rPr>
          <w:sz w:val="24"/>
          <w:szCs w:val="24"/>
        </w:rPr>
        <w:t>dengan</w:t>
      </w:r>
      <w:proofErr w:type="spellEnd"/>
      <w:r>
        <w:rPr>
          <w:sz w:val="24"/>
          <w:szCs w:val="24"/>
        </w:rPr>
        <w:t xml:space="preserve"> rata-rata </w:t>
      </w:r>
      <w:r w:rsidRPr="00D8047F">
        <w:rPr>
          <w:sz w:val="24"/>
          <w:szCs w:val="24"/>
        </w:rPr>
        <w:t>132.40 ± 1.67</w:t>
      </w:r>
      <w:r>
        <w:rPr>
          <w:sz w:val="24"/>
          <w:szCs w:val="24"/>
        </w:rPr>
        <w:t>.</w:t>
      </w:r>
    </w:p>
    <w:p w14:paraId="3A118B5E" w14:textId="77777777" w:rsidR="002F43AE" w:rsidRDefault="002F43AE" w:rsidP="002F43AE">
      <w:pPr>
        <w:ind w:firstLine="450"/>
        <w:jc w:val="both"/>
        <w:rPr>
          <w:sz w:val="24"/>
          <w:szCs w:val="24"/>
        </w:rPr>
      </w:pPr>
      <w:proofErr w:type="spellStart"/>
      <w:r>
        <w:rPr>
          <w:sz w:val="24"/>
          <w:szCs w:val="24"/>
        </w:rPr>
        <w:t>K</w:t>
      </w:r>
      <w:r w:rsidRPr="00E55EF8">
        <w:rPr>
          <w:sz w:val="24"/>
          <w:szCs w:val="24"/>
        </w:rPr>
        <w:t>ombinasi</w:t>
      </w:r>
      <w:proofErr w:type="spellEnd"/>
      <w:r w:rsidRPr="00E55EF8">
        <w:rPr>
          <w:sz w:val="24"/>
          <w:szCs w:val="24"/>
        </w:rPr>
        <w:t xml:space="preserve"> yang </w:t>
      </w:r>
      <w:proofErr w:type="spellStart"/>
      <w:r w:rsidRPr="00E55EF8">
        <w:rPr>
          <w:sz w:val="24"/>
          <w:szCs w:val="24"/>
        </w:rPr>
        <w:t>umum</w:t>
      </w:r>
      <w:proofErr w:type="spellEnd"/>
      <w:r>
        <w:rPr>
          <w:sz w:val="24"/>
          <w:szCs w:val="24"/>
        </w:rPr>
        <w:t xml:space="preserve"> yang</w:t>
      </w:r>
      <w:r w:rsidRPr="00E55EF8">
        <w:rPr>
          <w:sz w:val="24"/>
          <w:szCs w:val="24"/>
        </w:rPr>
        <w:t xml:space="preserve"> </w:t>
      </w:r>
      <w:proofErr w:type="spellStart"/>
      <w:r w:rsidRPr="00E55EF8">
        <w:rPr>
          <w:sz w:val="24"/>
          <w:szCs w:val="24"/>
        </w:rPr>
        <w:t>diberikan</w:t>
      </w:r>
      <w:proofErr w:type="spellEnd"/>
      <w:r w:rsidRPr="00E55EF8">
        <w:rPr>
          <w:sz w:val="24"/>
          <w:szCs w:val="24"/>
        </w:rPr>
        <w:t xml:space="preserve"> </w:t>
      </w:r>
      <w:proofErr w:type="spellStart"/>
      <w:r w:rsidRPr="00E55EF8">
        <w:rPr>
          <w:sz w:val="24"/>
          <w:szCs w:val="24"/>
        </w:rPr>
        <w:t>adalah</w:t>
      </w:r>
      <w:proofErr w:type="spellEnd"/>
      <w:r w:rsidRPr="00E55EF8">
        <w:rPr>
          <w:sz w:val="24"/>
          <w:szCs w:val="24"/>
        </w:rPr>
        <w:t xml:space="preserve"> </w:t>
      </w:r>
      <w:proofErr w:type="spellStart"/>
      <w:r w:rsidRPr="00E55EF8">
        <w:rPr>
          <w:sz w:val="24"/>
          <w:szCs w:val="24"/>
        </w:rPr>
        <w:t>kombinasi</w:t>
      </w:r>
      <w:proofErr w:type="spellEnd"/>
      <w:r w:rsidRPr="00E55EF8">
        <w:rPr>
          <w:sz w:val="24"/>
          <w:szCs w:val="24"/>
        </w:rPr>
        <w:t xml:space="preserve"> dapagliflozin dan </w:t>
      </w:r>
      <w:proofErr w:type="spellStart"/>
      <w:r w:rsidRPr="00E55EF8">
        <w:rPr>
          <w:sz w:val="24"/>
          <w:szCs w:val="24"/>
        </w:rPr>
        <w:t>glimerpirid</w:t>
      </w:r>
      <w:proofErr w:type="spellEnd"/>
      <w:r w:rsidRPr="00E55EF8">
        <w:rPr>
          <w:sz w:val="24"/>
          <w:szCs w:val="24"/>
        </w:rPr>
        <w:t xml:space="preserve">. </w:t>
      </w:r>
      <w:proofErr w:type="spellStart"/>
      <w:r w:rsidRPr="00E55EF8">
        <w:rPr>
          <w:sz w:val="24"/>
          <w:szCs w:val="24"/>
        </w:rPr>
        <w:t>Menurut</w:t>
      </w:r>
      <w:proofErr w:type="spellEnd"/>
      <w:r w:rsidRPr="00E55EF8">
        <w:rPr>
          <w:sz w:val="24"/>
          <w:szCs w:val="24"/>
        </w:rPr>
        <w:t xml:space="preserve"> </w:t>
      </w:r>
      <w:proofErr w:type="spellStart"/>
      <w:r w:rsidRPr="00E55EF8">
        <w:rPr>
          <w:sz w:val="24"/>
          <w:szCs w:val="24"/>
        </w:rPr>
        <w:t>penelitian</w:t>
      </w:r>
      <w:proofErr w:type="spellEnd"/>
      <w:r>
        <w:rPr>
          <w:sz w:val="24"/>
          <w:szCs w:val="24"/>
        </w:rPr>
        <w:t xml:space="preserve"> </w:t>
      </w:r>
      <w:r>
        <w:rPr>
          <w:b/>
          <w:color w:val="000000"/>
          <w:sz w:val="24"/>
          <w:szCs w:val="24"/>
        </w:rPr>
        <w:fldChar w:fldCharType="begin" w:fldLock="1"/>
      </w:r>
      <w:r>
        <w:rPr>
          <w:color w:val="000000"/>
          <w:sz w:val="24"/>
          <w:szCs w:val="24"/>
        </w:rPr>
        <w:instrText>ADDIN CSL_CITATION {"citationItems":[{"id":"ITEM-1","itemData":{"DOI":"10.4103/ijem.IJEM_162_17","ISSN":"22309500","abstract":"Involvement of multiple physiological pathways and complex pathogenesis is responsible for the onset and progression of type 2 diabetes mellitus (T2DM). Since it is difficult to manage multiple pathophysiological defects by monotherapy, a combination therapy with two or more oral antidiabetic agents (OADs) may help achieve euglycemia in T2DM patients. Choice of OADs is difficult with growing armamentarium of antidiabetic therapy. Ideally, drug combination should aim at reversal of known pathogenic abnormalities and demonstrate improvement in the overall metabolic health rather than simply reduce glycosylated hemoglobin (HbA1c) levels. Increased glucose reabsorption, a faulty pathological mechanism, is targeted by a novel class of drugs, namely, the sodium-glucose cotransporter-2 (SGLT2) inhibitors. Combination of SGLT2 inhibitors and other OADs complement each other due to their unique mechanism of action. In addition, the glucose-lowering effect of SGLT2 inhibitors remains independent of β-cell function and insulin sensitivity which reduces the chances of severe hypoglycemia in patients receiving these agents. Clinical studies from the past favor the use of SGLT2 inhibitors in combination with other agents to achieve better HbA1c levels, weight loss, and blood pressure control. In this review, we have made an attempt to explore the recommended guidelines for combination therapy, its advantages as either combination therapy or fixed-dose combinations therapy, and the role of SGLT2 inhibitors as a choice of drug as a combination with other OADs.","author":[{"dropping-particle":"","family":"Kalra","given":"Sanjay","non-dropping-particle":"","parse-names":false,"suffix":""},{"dropping-particle":"","family":"Kesavadev","given":"Jothydev","non-dropping-particle":"","parse-names":false,"suffix":""},{"dropping-particle":"","family":"Chadha","given":"Manoj","non-dropping-particle":"","parse-names":false,"suffix":""},{"dropping-particle":"","family":"Vijaya Kumar","given":"G.","non-dropping-particle":"","parse-names":false,"suffix":""}],"container-title":"Indian Journal of Endocrinology and Metabolism","id":"ITEM-1","issue":"6","issued":{"date-parts":[["2018"]]},"page":"827-836","title":"Sodium-glucose cotransporter-2 inhibitors in combination with other glucose-lowering agents for the treatment of type 2 diabetes mellitus","type":"article-journal","volume":"22"},"uris":["http://www.mendeley.com/documents/?uuid=a8788bf4-bc1f-4c70-b225-cd293f5d8010"]},{"id":"ITEM-2","itemData":{"DOI":"10.1007/s13300-015-0117-z","ISSN":"18696961","PMID":"26081793","abstract":"Introduction: The efficacy and safety of canagliflozin, a sodium glucose co-transporter 2 (SGLT2) inhibitor, was evaluated in patients with type 2 diabetes mellitus (T2DM) inadequately controlled on sulfonylurea monotherapy. Methods: The CANagliflozin cardioVascular Assessment Study (CANVAS) is a double-blind, placebo-controlled cardiovascular outcomes study that randomized participants to placebo or canagliflozin 100 or 300 mg once daily in addition to routine therapy. Participants in the CANVAS trial are men and women aged ≥30 years with T2DM and a history or high risk of cardiovascular disease, and inadequate glycemic control (glycated hemoglobin [HbA1c] ≥7.0% and ≤10.5%) on current antihyperglycemic therapies. The primary objective of this prespecified substudy was to assess change from baseline to 18 weeks in HbA1c among patients on sulfonylurea monotherapy. Results: Of the 4330 patients enrolled in CANVAS, 127 met the entry criteria for the sulfonylurea monotherapy substudy (placebo, n = 45; canagliflozin 100 mg, n = 42; canagliflozin 300 mg, n = 40). At 18 weeks, placebo-subtracted changes (95% confidence interval) in HbA1c were −0.74% (−1.15, −0.33; P &lt; 0.001) and −0.83% (−1.24, −0.42; P &lt; 0.001) with canagliflozin 100 and 300 mg, respectively. Relative to placebo, canagliflozin 100 and 300 mg also decreased fasting plasma glucose (FPG; −2.1 mmol/L [−3.0, −1.2] and −2.7 mmol/L [−3.6, −1.7], respectively). Body weight was lower with canagliflozin 300 mg (–1.8% [−3.2, −0.4]; P = 0.014) but unchanged with canagliflozin 100 mg (−0.4% [−1.8, 1.0]; P = 0.557). Canagliflozin 300 mg increased hypoglycemia episodes compared to canagliflozin 100 mg and placebo (15%, 0%, and 4.4%, respectively). Adverse events (AEs) of male and female genital mycotic infections, pollakiuria, and thirst were more common with canagliflozin. Conclusions: Canagliflozin added to ongoing sulfonylurea monotherapy produced improvements in HbA1c, FPG, and body weight, with an increased incidence of AEs consistent with the mechanism of action of SGLT2 inhibition. Funding: Janssen Research &amp; Development, LLC. Clinical trial registration: ClinicalTrials.gov NCT01032629.","author":[{"dropping-particle":"","family":"Fulcher","given":"Greg","non-dropping-particle":"","parse-names":false,"suffix":""},{"dropping-particle":"","family":"Matthews","given":"David R.","non-dropping-particle":"","parse-names":false,"suffix":""},{"dropping-particle":"","family":"Perkovic","given":"Vlado","non-dropping-particle":"","parse-names":false,"suffix":""},{"dropping-particle":"","family":"Zeeuw","given":"Dick","non-dropping-particle":"de","parse-names":false,"suffix":""},{"dropping-particle":"","family":"Mahaffey","given":"Kenneth W.","non-dropping-particle":"","parse-names":false,"suffix":""},{"dropping-particle":"","family":"Weiss","given":"Robert","non-dropping-particle":"","parse-names":false,"suffix":""},{"dropping-particle":"","family":"Rosenstock","given":"Julio","non-dropping-particle":"","parse-names":false,"suffix":""},{"dropping-particle":"","family":"Capuano","given":"George","non-dropping-particle":"","parse-names":false,"suffix":""},{"dropping-particle":"","family":"Desai","given":"Mehul","non-dropping-particle":"","parse-names":false,"suffix":""},{"dropping-particle":"","family":"Shaw","given":"Wayne","non-dropping-particle":"","parse-names":false,"suffix":""},{"dropping-particle":"","family":"Vercruysse","given":"Frank","non-dropping-particle":"","parse-names":false,"suffix":""},{"dropping-particle":"","family":"Meininger","given":"Gary","non-dropping-particle":"","parse-names":false,"suffix":""},{"dropping-particle":"","family":"Neal","given":"Bruce","non-dropping-particle":"","parse-names":false,"suffix":""}],"container-title":"Diabetes Therapy","id":"ITEM-2","issue":"3","issued":{"date-parts":[["2015"]]},"page":"289-302","publisher":"Springer Healthcare","title":"Efficacy and Safety of Canagliflozin Used in Conjunction with Sulfonylurea in Patients with Type 2 Diabetes Mellitus: A Randomized, Controlled Trial","type":"article-journal","volume":"6"},"uris":["http://www.mendeley.com/documents/?uuid=8384953d-27f4-4a1b-bf14-14acd6633f5a"]}],"mendeley":{"formattedCitation":"(Kalra &lt;i&gt;et al.&lt;/i&gt;, 2018; Fulcher &lt;i&gt;et al.&lt;/i&gt;, 2015)","plainTextFormattedCitation":"(Kalra et al., 2018; Fulcher et al., 2015)","previouslyFormattedCitation":"(8,9)"},"properties":{"noteIndex":0},"schema":"https://github.com/citation-style-language/schema/raw/master/csl-citation.json"}</w:instrText>
      </w:r>
      <w:r>
        <w:rPr>
          <w:b/>
          <w:color w:val="000000"/>
          <w:sz w:val="24"/>
          <w:szCs w:val="24"/>
        </w:rPr>
        <w:fldChar w:fldCharType="separate"/>
      </w:r>
      <w:r w:rsidRPr="00DA390C">
        <w:rPr>
          <w:noProof/>
          <w:color w:val="000000"/>
          <w:sz w:val="24"/>
          <w:szCs w:val="24"/>
        </w:rPr>
        <w:t xml:space="preserve">(Kalra </w:t>
      </w:r>
      <w:r w:rsidRPr="00DA390C">
        <w:rPr>
          <w:i/>
          <w:noProof/>
          <w:color w:val="000000"/>
          <w:sz w:val="24"/>
          <w:szCs w:val="24"/>
        </w:rPr>
        <w:t>et al.</w:t>
      </w:r>
      <w:r w:rsidRPr="00DA390C">
        <w:rPr>
          <w:noProof/>
          <w:color w:val="000000"/>
          <w:sz w:val="24"/>
          <w:szCs w:val="24"/>
        </w:rPr>
        <w:t xml:space="preserve">, 2018; Fulcher </w:t>
      </w:r>
      <w:r w:rsidRPr="00DA390C">
        <w:rPr>
          <w:i/>
          <w:noProof/>
          <w:color w:val="000000"/>
          <w:sz w:val="24"/>
          <w:szCs w:val="24"/>
        </w:rPr>
        <w:t>et al.</w:t>
      </w:r>
      <w:r w:rsidRPr="00DA390C">
        <w:rPr>
          <w:noProof/>
          <w:color w:val="000000"/>
          <w:sz w:val="24"/>
          <w:szCs w:val="24"/>
        </w:rPr>
        <w:t>, 2015)</w:t>
      </w:r>
      <w:r>
        <w:rPr>
          <w:b/>
          <w:color w:val="000000"/>
          <w:sz w:val="24"/>
          <w:szCs w:val="24"/>
        </w:rPr>
        <w:fldChar w:fldCharType="end"/>
      </w:r>
      <w:r>
        <w:rPr>
          <w:color w:val="000000"/>
          <w:sz w:val="24"/>
          <w:szCs w:val="24"/>
        </w:rPr>
        <w:t xml:space="preserve"> </w:t>
      </w:r>
      <w:proofErr w:type="spellStart"/>
      <w:r w:rsidRPr="00E55EF8">
        <w:rPr>
          <w:sz w:val="24"/>
          <w:szCs w:val="24"/>
        </w:rPr>
        <w:t>menyatakan</w:t>
      </w:r>
      <w:proofErr w:type="spellEnd"/>
      <w:r w:rsidRPr="00E55EF8">
        <w:rPr>
          <w:sz w:val="24"/>
          <w:szCs w:val="24"/>
        </w:rPr>
        <w:t xml:space="preserve"> </w:t>
      </w:r>
      <w:proofErr w:type="spellStart"/>
      <w:r w:rsidRPr="00E55EF8">
        <w:rPr>
          <w:sz w:val="24"/>
          <w:szCs w:val="24"/>
        </w:rPr>
        <w:t>bahwa</w:t>
      </w:r>
      <w:proofErr w:type="spellEnd"/>
      <w:r w:rsidRPr="00E55EF8">
        <w:rPr>
          <w:sz w:val="24"/>
          <w:szCs w:val="24"/>
        </w:rPr>
        <w:t xml:space="preserve"> SGLT-2 Inhibitor dan </w:t>
      </w:r>
      <w:proofErr w:type="spellStart"/>
      <w:r w:rsidRPr="00E55EF8">
        <w:rPr>
          <w:sz w:val="24"/>
          <w:szCs w:val="24"/>
        </w:rPr>
        <w:t>sulfonilurea</w:t>
      </w:r>
      <w:proofErr w:type="spellEnd"/>
      <w:r w:rsidRPr="00E55EF8">
        <w:rPr>
          <w:sz w:val="24"/>
          <w:szCs w:val="24"/>
        </w:rPr>
        <w:t xml:space="preserve"> </w:t>
      </w:r>
      <w:proofErr w:type="spellStart"/>
      <w:r w:rsidRPr="00E55EF8">
        <w:rPr>
          <w:sz w:val="24"/>
          <w:szCs w:val="24"/>
        </w:rPr>
        <w:t>dapat</w:t>
      </w:r>
      <w:proofErr w:type="spellEnd"/>
      <w:r w:rsidRPr="00E55EF8">
        <w:rPr>
          <w:sz w:val="24"/>
          <w:szCs w:val="24"/>
        </w:rPr>
        <w:t xml:space="preserve"> </w:t>
      </w:r>
      <w:proofErr w:type="spellStart"/>
      <w:r w:rsidRPr="00E55EF8">
        <w:rPr>
          <w:sz w:val="24"/>
          <w:szCs w:val="24"/>
        </w:rPr>
        <w:t>dikombinasikan</w:t>
      </w:r>
      <w:proofErr w:type="spellEnd"/>
      <w:r w:rsidRPr="00E55EF8">
        <w:rPr>
          <w:sz w:val="24"/>
          <w:szCs w:val="24"/>
        </w:rPr>
        <w:t xml:space="preserve"> </w:t>
      </w:r>
      <w:proofErr w:type="spellStart"/>
      <w:r w:rsidRPr="00E55EF8">
        <w:rPr>
          <w:sz w:val="24"/>
          <w:szCs w:val="24"/>
        </w:rPr>
        <w:t>karena</w:t>
      </w:r>
      <w:proofErr w:type="spellEnd"/>
      <w:r w:rsidRPr="00E55EF8">
        <w:rPr>
          <w:sz w:val="24"/>
          <w:szCs w:val="24"/>
        </w:rPr>
        <w:t xml:space="preserve"> </w:t>
      </w:r>
      <w:proofErr w:type="spellStart"/>
      <w:r w:rsidRPr="00E55EF8">
        <w:rPr>
          <w:sz w:val="24"/>
          <w:szCs w:val="24"/>
        </w:rPr>
        <w:t>mekanisme</w:t>
      </w:r>
      <w:proofErr w:type="spellEnd"/>
      <w:r w:rsidRPr="00E55EF8">
        <w:rPr>
          <w:sz w:val="24"/>
          <w:szCs w:val="24"/>
        </w:rPr>
        <w:t xml:space="preserve"> </w:t>
      </w:r>
      <w:proofErr w:type="spellStart"/>
      <w:r w:rsidRPr="00E55EF8">
        <w:rPr>
          <w:sz w:val="24"/>
          <w:szCs w:val="24"/>
        </w:rPr>
        <w:t>kerja</w:t>
      </w:r>
      <w:proofErr w:type="spellEnd"/>
      <w:r w:rsidRPr="00E55EF8">
        <w:rPr>
          <w:sz w:val="24"/>
          <w:szCs w:val="24"/>
        </w:rPr>
        <w:t xml:space="preserve"> </w:t>
      </w:r>
      <w:proofErr w:type="spellStart"/>
      <w:r w:rsidRPr="00E55EF8">
        <w:rPr>
          <w:sz w:val="24"/>
          <w:szCs w:val="24"/>
        </w:rPr>
        <w:t>kedua</w:t>
      </w:r>
      <w:proofErr w:type="spellEnd"/>
      <w:r w:rsidRPr="00E55EF8">
        <w:rPr>
          <w:sz w:val="24"/>
          <w:szCs w:val="24"/>
        </w:rPr>
        <w:t xml:space="preserve"> </w:t>
      </w:r>
      <w:proofErr w:type="spellStart"/>
      <w:r w:rsidRPr="00E55EF8">
        <w:rPr>
          <w:sz w:val="24"/>
          <w:szCs w:val="24"/>
        </w:rPr>
        <w:t>obat</w:t>
      </w:r>
      <w:proofErr w:type="spellEnd"/>
      <w:r w:rsidRPr="00E55EF8">
        <w:rPr>
          <w:sz w:val="24"/>
          <w:szCs w:val="24"/>
        </w:rPr>
        <w:t xml:space="preserve"> </w:t>
      </w:r>
      <w:proofErr w:type="spellStart"/>
      <w:r w:rsidRPr="00E55EF8">
        <w:rPr>
          <w:sz w:val="24"/>
          <w:szCs w:val="24"/>
        </w:rPr>
        <w:t>tersebut</w:t>
      </w:r>
      <w:proofErr w:type="spellEnd"/>
      <w:r w:rsidRPr="00E55EF8">
        <w:rPr>
          <w:sz w:val="24"/>
          <w:szCs w:val="24"/>
        </w:rPr>
        <w:t xml:space="preserve"> </w:t>
      </w:r>
      <w:proofErr w:type="spellStart"/>
      <w:r w:rsidRPr="00E55EF8">
        <w:rPr>
          <w:sz w:val="24"/>
          <w:szCs w:val="24"/>
        </w:rPr>
        <w:t>berbeda</w:t>
      </w:r>
      <w:proofErr w:type="spellEnd"/>
      <w:r w:rsidRPr="00E55EF8">
        <w:rPr>
          <w:sz w:val="24"/>
          <w:szCs w:val="24"/>
        </w:rPr>
        <w:t xml:space="preserve">. </w:t>
      </w:r>
      <w:proofErr w:type="spellStart"/>
      <w:r w:rsidRPr="00E55EF8">
        <w:rPr>
          <w:sz w:val="24"/>
          <w:szCs w:val="24"/>
        </w:rPr>
        <w:t>Glimepirid</w:t>
      </w:r>
      <w:proofErr w:type="spellEnd"/>
      <w:r w:rsidRPr="00E55EF8">
        <w:rPr>
          <w:sz w:val="24"/>
          <w:szCs w:val="24"/>
        </w:rPr>
        <w:t xml:space="preserve"> </w:t>
      </w:r>
      <w:proofErr w:type="spellStart"/>
      <w:r w:rsidRPr="00E55EF8">
        <w:rPr>
          <w:sz w:val="24"/>
          <w:szCs w:val="24"/>
        </w:rPr>
        <w:t>bekerja</w:t>
      </w:r>
      <w:proofErr w:type="spellEnd"/>
      <w:r w:rsidRPr="00E55EF8">
        <w:rPr>
          <w:sz w:val="24"/>
          <w:szCs w:val="24"/>
        </w:rPr>
        <w:t xml:space="preserve"> </w:t>
      </w:r>
      <w:proofErr w:type="spellStart"/>
      <w:r w:rsidRPr="00E55EF8">
        <w:rPr>
          <w:sz w:val="24"/>
          <w:szCs w:val="24"/>
        </w:rPr>
        <w:t>dengann</w:t>
      </w:r>
      <w:proofErr w:type="spellEnd"/>
      <w:r w:rsidRPr="00E55EF8">
        <w:rPr>
          <w:sz w:val="24"/>
          <w:szCs w:val="24"/>
        </w:rPr>
        <w:t xml:space="preserve"> </w:t>
      </w:r>
      <w:proofErr w:type="spellStart"/>
      <w:r w:rsidRPr="00E55EF8">
        <w:rPr>
          <w:sz w:val="24"/>
          <w:szCs w:val="24"/>
        </w:rPr>
        <w:t>merangsang</w:t>
      </w:r>
      <w:proofErr w:type="spellEnd"/>
      <w:r w:rsidRPr="00E55EF8">
        <w:rPr>
          <w:sz w:val="24"/>
          <w:szCs w:val="24"/>
        </w:rPr>
        <w:t xml:space="preserve"> </w:t>
      </w:r>
      <w:proofErr w:type="spellStart"/>
      <w:r w:rsidRPr="00E55EF8">
        <w:rPr>
          <w:sz w:val="24"/>
          <w:szCs w:val="24"/>
        </w:rPr>
        <w:t>sekresi</w:t>
      </w:r>
      <w:proofErr w:type="spellEnd"/>
      <w:r w:rsidRPr="00E55EF8">
        <w:rPr>
          <w:sz w:val="24"/>
          <w:szCs w:val="24"/>
        </w:rPr>
        <w:t xml:space="preserve"> insulin di </w:t>
      </w:r>
      <w:proofErr w:type="spellStart"/>
      <w:r w:rsidRPr="00E55EF8">
        <w:rPr>
          <w:sz w:val="24"/>
          <w:szCs w:val="24"/>
        </w:rPr>
        <w:t>sel</w:t>
      </w:r>
      <w:proofErr w:type="spellEnd"/>
      <w:r w:rsidRPr="00E55EF8">
        <w:rPr>
          <w:sz w:val="24"/>
          <w:szCs w:val="24"/>
        </w:rPr>
        <w:t xml:space="preserve"> beta </w:t>
      </w:r>
      <w:proofErr w:type="spellStart"/>
      <w:r w:rsidRPr="00E55EF8">
        <w:rPr>
          <w:sz w:val="24"/>
          <w:szCs w:val="24"/>
        </w:rPr>
        <w:t>pangkreas</w:t>
      </w:r>
      <w:proofErr w:type="spellEnd"/>
      <w:r w:rsidRPr="00E55EF8">
        <w:rPr>
          <w:sz w:val="24"/>
          <w:szCs w:val="24"/>
        </w:rPr>
        <w:t xml:space="preserve"> </w:t>
      </w:r>
      <w:proofErr w:type="spellStart"/>
      <w:r w:rsidRPr="00E55EF8">
        <w:rPr>
          <w:sz w:val="24"/>
          <w:szCs w:val="24"/>
        </w:rPr>
        <w:t>dengan</w:t>
      </w:r>
      <w:proofErr w:type="spellEnd"/>
      <w:r w:rsidRPr="00E55EF8">
        <w:rPr>
          <w:sz w:val="24"/>
          <w:szCs w:val="24"/>
        </w:rPr>
        <w:t xml:space="preserve"> </w:t>
      </w:r>
      <w:proofErr w:type="spellStart"/>
      <w:r w:rsidRPr="00E55EF8">
        <w:rPr>
          <w:sz w:val="24"/>
          <w:szCs w:val="24"/>
        </w:rPr>
        <w:t>menutup</w:t>
      </w:r>
      <w:proofErr w:type="spellEnd"/>
      <w:r w:rsidRPr="00E55EF8">
        <w:rPr>
          <w:sz w:val="24"/>
          <w:szCs w:val="24"/>
        </w:rPr>
        <w:t xml:space="preserve"> </w:t>
      </w:r>
      <w:proofErr w:type="spellStart"/>
      <w:r w:rsidRPr="00E55EF8">
        <w:rPr>
          <w:sz w:val="24"/>
          <w:szCs w:val="24"/>
        </w:rPr>
        <w:t>kanal</w:t>
      </w:r>
      <w:proofErr w:type="spellEnd"/>
      <w:r w:rsidRPr="00E55EF8">
        <w:rPr>
          <w:sz w:val="24"/>
          <w:szCs w:val="24"/>
        </w:rPr>
        <w:t xml:space="preserve"> K ATP yang </w:t>
      </w:r>
      <w:proofErr w:type="spellStart"/>
      <w:r w:rsidRPr="00E55EF8">
        <w:rPr>
          <w:sz w:val="24"/>
          <w:szCs w:val="24"/>
        </w:rPr>
        <w:t>ada</w:t>
      </w:r>
      <w:proofErr w:type="spellEnd"/>
      <w:r w:rsidRPr="00E55EF8">
        <w:rPr>
          <w:sz w:val="24"/>
          <w:szCs w:val="24"/>
        </w:rPr>
        <w:t xml:space="preserve"> di </w:t>
      </w:r>
      <w:proofErr w:type="spellStart"/>
      <w:r w:rsidRPr="00E55EF8">
        <w:rPr>
          <w:sz w:val="24"/>
          <w:szCs w:val="24"/>
        </w:rPr>
        <w:t>membran</w:t>
      </w:r>
      <w:proofErr w:type="spellEnd"/>
      <w:r w:rsidRPr="00E55EF8">
        <w:rPr>
          <w:sz w:val="24"/>
          <w:szCs w:val="24"/>
        </w:rPr>
        <w:t xml:space="preserve"> </w:t>
      </w:r>
      <w:proofErr w:type="spellStart"/>
      <w:r w:rsidRPr="00E55EF8">
        <w:rPr>
          <w:sz w:val="24"/>
          <w:szCs w:val="24"/>
        </w:rPr>
        <w:t>sel-sel</w:t>
      </w:r>
      <w:proofErr w:type="spellEnd"/>
      <w:r w:rsidRPr="00E55EF8">
        <w:rPr>
          <w:sz w:val="24"/>
          <w:szCs w:val="24"/>
        </w:rPr>
        <w:t xml:space="preserve"> beta </w:t>
      </w:r>
      <w:proofErr w:type="spellStart"/>
      <w:r w:rsidRPr="00E55EF8">
        <w:rPr>
          <w:sz w:val="24"/>
          <w:szCs w:val="24"/>
        </w:rPr>
        <w:t>pangkreas</w:t>
      </w:r>
      <w:proofErr w:type="spellEnd"/>
      <w:r w:rsidRPr="00E55EF8">
        <w:rPr>
          <w:sz w:val="24"/>
          <w:szCs w:val="24"/>
        </w:rPr>
        <w:t xml:space="preserve"> </w:t>
      </w:r>
      <w:proofErr w:type="spellStart"/>
      <w:r w:rsidRPr="00E55EF8">
        <w:rPr>
          <w:sz w:val="24"/>
          <w:szCs w:val="24"/>
        </w:rPr>
        <w:t>sehingga</w:t>
      </w:r>
      <w:proofErr w:type="spellEnd"/>
      <w:r w:rsidRPr="00E55EF8">
        <w:rPr>
          <w:sz w:val="24"/>
          <w:szCs w:val="24"/>
        </w:rPr>
        <w:t xml:space="preserve"> </w:t>
      </w:r>
      <w:proofErr w:type="spellStart"/>
      <w:r w:rsidRPr="00E55EF8">
        <w:rPr>
          <w:sz w:val="24"/>
          <w:szCs w:val="24"/>
        </w:rPr>
        <w:t>terjadi</w:t>
      </w:r>
      <w:proofErr w:type="spellEnd"/>
      <w:r w:rsidRPr="00E55EF8">
        <w:rPr>
          <w:sz w:val="24"/>
          <w:szCs w:val="24"/>
        </w:rPr>
        <w:t xml:space="preserve"> </w:t>
      </w:r>
      <w:proofErr w:type="spellStart"/>
      <w:r w:rsidRPr="00E55EF8">
        <w:rPr>
          <w:sz w:val="24"/>
          <w:szCs w:val="24"/>
        </w:rPr>
        <w:t>depolarisasi</w:t>
      </w:r>
      <w:proofErr w:type="spellEnd"/>
      <w:r w:rsidRPr="00E55EF8">
        <w:rPr>
          <w:sz w:val="24"/>
          <w:szCs w:val="24"/>
        </w:rPr>
        <w:t xml:space="preserve">. </w:t>
      </w:r>
      <w:proofErr w:type="spellStart"/>
      <w:r w:rsidRPr="00E55EF8">
        <w:rPr>
          <w:sz w:val="24"/>
          <w:szCs w:val="24"/>
        </w:rPr>
        <w:t>Depolarasi</w:t>
      </w:r>
      <w:proofErr w:type="spellEnd"/>
      <w:r w:rsidRPr="00E55EF8">
        <w:rPr>
          <w:sz w:val="24"/>
          <w:szCs w:val="24"/>
        </w:rPr>
        <w:t xml:space="preserve"> </w:t>
      </w:r>
      <w:proofErr w:type="spellStart"/>
      <w:r w:rsidRPr="00E55EF8">
        <w:rPr>
          <w:sz w:val="24"/>
          <w:szCs w:val="24"/>
        </w:rPr>
        <w:t>menyebabkan</w:t>
      </w:r>
      <w:proofErr w:type="spellEnd"/>
      <w:r w:rsidRPr="00E55EF8">
        <w:rPr>
          <w:sz w:val="24"/>
          <w:szCs w:val="24"/>
        </w:rPr>
        <w:t xml:space="preserve"> </w:t>
      </w:r>
      <w:proofErr w:type="spellStart"/>
      <w:r w:rsidRPr="00E55EF8">
        <w:rPr>
          <w:sz w:val="24"/>
          <w:szCs w:val="24"/>
        </w:rPr>
        <w:t>terbukanya</w:t>
      </w:r>
      <w:proofErr w:type="spellEnd"/>
      <w:r w:rsidRPr="00E55EF8">
        <w:rPr>
          <w:sz w:val="24"/>
          <w:szCs w:val="24"/>
        </w:rPr>
        <w:t xml:space="preserve"> </w:t>
      </w:r>
      <w:r w:rsidRPr="00B32370">
        <w:rPr>
          <w:i/>
          <w:sz w:val="24"/>
          <w:szCs w:val="24"/>
        </w:rPr>
        <w:t>Ca Channel</w:t>
      </w:r>
      <w:r w:rsidRPr="00E55EF8">
        <w:rPr>
          <w:sz w:val="24"/>
          <w:szCs w:val="24"/>
        </w:rPr>
        <w:t xml:space="preserve"> </w:t>
      </w:r>
      <w:proofErr w:type="spellStart"/>
      <w:r w:rsidRPr="00E55EF8">
        <w:rPr>
          <w:sz w:val="24"/>
          <w:szCs w:val="24"/>
        </w:rPr>
        <w:t>sehingga</w:t>
      </w:r>
      <w:proofErr w:type="spellEnd"/>
      <w:r w:rsidRPr="00E55EF8">
        <w:rPr>
          <w:sz w:val="24"/>
          <w:szCs w:val="24"/>
        </w:rPr>
        <w:t xml:space="preserve"> </w:t>
      </w:r>
      <w:proofErr w:type="spellStart"/>
      <w:r w:rsidRPr="00E55EF8">
        <w:rPr>
          <w:sz w:val="24"/>
          <w:szCs w:val="24"/>
        </w:rPr>
        <w:t>terjadi</w:t>
      </w:r>
      <w:proofErr w:type="spellEnd"/>
      <w:r w:rsidRPr="00E55EF8">
        <w:rPr>
          <w:sz w:val="24"/>
          <w:szCs w:val="24"/>
        </w:rPr>
        <w:t xml:space="preserve"> </w:t>
      </w:r>
      <w:proofErr w:type="spellStart"/>
      <w:r w:rsidRPr="00E55EF8">
        <w:rPr>
          <w:sz w:val="24"/>
          <w:szCs w:val="24"/>
        </w:rPr>
        <w:t>kenaikan</w:t>
      </w:r>
      <w:proofErr w:type="spellEnd"/>
      <w:r w:rsidRPr="00E55EF8">
        <w:rPr>
          <w:sz w:val="24"/>
          <w:szCs w:val="24"/>
        </w:rPr>
        <w:t xml:space="preserve"> </w:t>
      </w:r>
      <w:proofErr w:type="spellStart"/>
      <w:r w:rsidRPr="00E55EF8">
        <w:rPr>
          <w:sz w:val="24"/>
          <w:szCs w:val="24"/>
        </w:rPr>
        <w:t>kadar</w:t>
      </w:r>
      <w:proofErr w:type="spellEnd"/>
      <w:r w:rsidRPr="00E55EF8">
        <w:rPr>
          <w:sz w:val="24"/>
          <w:szCs w:val="24"/>
        </w:rPr>
        <w:t xml:space="preserve"> Ca </w:t>
      </w:r>
      <w:proofErr w:type="spellStart"/>
      <w:r w:rsidRPr="00E55EF8">
        <w:rPr>
          <w:sz w:val="24"/>
          <w:szCs w:val="24"/>
        </w:rPr>
        <w:t>dalam</w:t>
      </w:r>
      <w:proofErr w:type="spellEnd"/>
      <w:r w:rsidRPr="00E55EF8">
        <w:rPr>
          <w:sz w:val="24"/>
          <w:szCs w:val="24"/>
        </w:rPr>
        <w:t xml:space="preserve"> </w:t>
      </w:r>
      <w:proofErr w:type="spellStart"/>
      <w:r w:rsidRPr="00E55EF8">
        <w:rPr>
          <w:sz w:val="24"/>
          <w:szCs w:val="24"/>
        </w:rPr>
        <w:t>intrasel</w:t>
      </w:r>
      <w:proofErr w:type="spellEnd"/>
      <w:r w:rsidRPr="00E55EF8">
        <w:rPr>
          <w:sz w:val="24"/>
          <w:szCs w:val="24"/>
        </w:rPr>
        <w:t xml:space="preserve"> yang </w:t>
      </w:r>
      <w:proofErr w:type="spellStart"/>
      <w:r w:rsidRPr="00E55EF8">
        <w:rPr>
          <w:sz w:val="24"/>
          <w:szCs w:val="24"/>
        </w:rPr>
        <w:t>menyebabkan</w:t>
      </w:r>
      <w:proofErr w:type="spellEnd"/>
      <w:r w:rsidRPr="00E55EF8">
        <w:rPr>
          <w:sz w:val="24"/>
          <w:szCs w:val="24"/>
        </w:rPr>
        <w:t xml:space="preserve"> </w:t>
      </w:r>
      <w:proofErr w:type="spellStart"/>
      <w:r w:rsidRPr="00E55EF8">
        <w:rPr>
          <w:sz w:val="24"/>
          <w:szCs w:val="24"/>
        </w:rPr>
        <w:t>peningkatan</w:t>
      </w:r>
      <w:proofErr w:type="spellEnd"/>
      <w:r w:rsidRPr="00E55EF8">
        <w:rPr>
          <w:sz w:val="24"/>
          <w:szCs w:val="24"/>
        </w:rPr>
        <w:t xml:space="preserve"> </w:t>
      </w:r>
      <w:proofErr w:type="spellStart"/>
      <w:r w:rsidRPr="00E55EF8">
        <w:rPr>
          <w:sz w:val="24"/>
          <w:szCs w:val="24"/>
        </w:rPr>
        <w:t>sekresi</w:t>
      </w:r>
      <w:proofErr w:type="spellEnd"/>
      <w:r w:rsidRPr="00E55EF8">
        <w:rPr>
          <w:sz w:val="24"/>
          <w:szCs w:val="24"/>
        </w:rPr>
        <w:t xml:space="preserve"> insulin </w:t>
      </w:r>
      <w:proofErr w:type="spellStart"/>
      <w:r w:rsidRPr="00E55EF8">
        <w:rPr>
          <w:sz w:val="24"/>
          <w:szCs w:val="24"/>
        </w:rPr>
        <w:t>sehingga</w:t>
      </w:r>
      <w:proofErr w:type="spellEnd"/>
      <w:r w:rsidRPr="00E55EF8">
        <w:rPr>
          <w:sz w:val="24"/>
          <w:szCs w:val="24"/>
        </w:rPr>
        <w:t xml:space="preserve"> </w:t>
      </w:r>
      <w:proofErr w:type="spellStart"/>
      <w:r w:rsidRPr="00E55EF8">
        <w:rPr>
          <w:sz w:val="24"/>
          <w:szCs w:val="24"/>
        </w:rPr>
        <w:t>memberikan</w:t>
      </w:r>
      <w:proofErr w:type="spellEnd"/>
      <w:r w:rsidRPr="00E55EF8">
        <w:rPr>
          <w:sz w:val="24"/>
          <w:szCs w:val="24"/>
        </w:rPr>
        <w:t xml:space="preserve"> </w:t>
      </w:r>
      <w:proofErr w:type="spellStart"/>
      <w:r w:rsidRPr="00E55EF8">
        <w:rPr>
          <w:sz w:val="24"/>
          <w:szCs w:val="24"/>
        </w:rPr>
        <w:t>efek</w:t>
      </w:r>
      <w:proofErr w:type="spellEnd"/>
      <w:r w:rsidRPr="00E55EF8">
        <w:rPr>
          <w:sz w:val="24"/>
          <w:szCs w:val="24"/>
        </w:rPr>
        <w:t xml:space="preserve"> </w:t>
      </w:r>
      <w:proofErr w:type="spellStart"/>
      <w:r w:rsidRPr="00E55EF8">
        <w:rPr>
          <w:sz w:val="24"/>
          <w:szCs w:val="24"/>
        </w:rPr>
        <w:t>merangsang</w:t>
      </w:r>
      <w:proofErr w:type="spellEnd"/>
      <w:r w:rsidRPr="00E55EF8">
        <w:rPr>
          <w:sz w:val="24"/>
          <w:szCs w:val="24"/>
        </w:rPr>
        <w:t xml:space="preserve"> </w:t>
      </w:r>
      <w:proofErr w:type="spellStart"/>
      <w:r w:rsidRPr="00E55EF8">
        <w:rPr>
          <w:sz w:val="24"/>
          <w:szCs w:val="24"/>
        </w:rPr>
        <w:t>untuk</w:t>
      </w:r>
      <w:proofErr w:type="spellEnd"/>
      <w:r w:rsidRPr="00E55EF8">
        <w:rPr>
          <w:sz w:val="24"/>
          <w:szCs w:val="24"/>
        </w:rPr>
        <w:t xml:space="preserve"> </w:t>
      </w:r>
      <w:proofErr w:type="spellStart"/>
      <w:r w:rsidRPr="00E55EF8">
        <w:rPr>
          <w:sz w:val="24"/>
          <w:szCs w:val="24"/>
        </w:rPr>
        <w:t>meningkatkan</w:t>
      </w:r>
      <w:proofErr w:type="spellEnd"/>
      <w:r w:rsidRPr="00E55EF8">
        <w:rPr>
          <w:sz w:val="24"/>
          <w:szCs w:val="24"/>
        </w:rPr>
        <w:t xml:space="preserve"> </w:t>
      </w:r>
      <w:proofErr w:type="spellStart"/>
      <w:r w:rsidRPr="00E55EF8">
        <w:rPr>
          <w:sz w:val="24"/>
          <w:szCs w:val="24"/>
        </w:rPr>
        <w:t>s</w:t>
      </w:r>
      <w:r>
        <w:rPr>
          <w:sz w:val="24"/>
          <w:szCs w:val="24"/>
        </w:rPr>
        <w:t>ekresi</w:t>
      </w:r>
      <w:proofErr w:type="spellEnd"/>
      <w:r>
        <w:rPr>
          <w:sz w:val="24"/>
          <w:szCs w:val="24"/>
        </w:rPr>
        <w:t xml:space="preserve"> insulin </w:t>
      </w:r>
      <w:r>
        <w:rPr>
          <w:b/>
          <w:color w:val="000000"/>
          <w:sz w:val="24"/>
          <w:szCs w:val="24"/>
        </w:rPr>
        <w:fldChar w:fldCharType="begin" w:fldLock="1"/>
      </w:r>
      <w:r>
        <w:rPr>
          <w:color w:val="000000"/>
          <w:sz w:val="24"/>
          <w:szCs w:val="24"/>
        </w:rPr>
        <w:instrText>ADDIN CSL_CITATION {"citationItems":[{"id":"ITEM-1","itemData":{"author":[{"dropping-particle":"","family":"Ikawati, Z","given":"","non-dropping-particle":"","parse-names":false,"suffix":""}],"id":"ITEM-1","issued":{"date-parts":[["2015"]]},"publisher":"Gadjah Mada University Press","publisher-place":"Yogyakarta","title":"Farmakologi molekuler","type":"book"},"uris":["http://www.mendeley.com/documents/?uuid=d051d1bd-4fb5-4fb4-86cf-72fe25f02037"]}],"mendeley":{"formattedCitation":"(Ikawati, Z, 2015)","plainTextFormattedCitation":"(Ikawati, Z, 2015)","previouslyFormattedCitation":"(17)"},"properties":{"noteIndex":0},"schema":"https://github.com/citation-style-language/schema/raw/master/csl-citation.json"}</w:instrText>
      </w:r>
      <w:r>
        <w:rPr>
          <w:b/>
          <w:color w:val="000000"/>
          <w:sz w:val="24"/>
          <w:szCs w:val="24"/>
        </w:rPr>
        <w:fldChar w:fldCharType="separate"/>
      </w:r>
      <w:r w:rsidRPr="00DA390C">
        <w:rPr>
          <w:noProof/>
          <w:color w:val="000000"/>
          <w:sz w:val="24"/>
          <w:szCs w:val="24"/>
        </w:rPr>
        <w:t>(Ikawati, Z, 2015)</w:t>
      </w:r>
      <w:r>
        <w:rPr>
          <w:b/>
          <w:color w:val="000000"/>
          <w:sz w:val="24"/>
          <w:szCs w:val="24"/>
        </w:rPr>
        <w:fldChar w:fldCharType="end"/>
      </w:r>
      <w:r>
        <w:rPr>
          <w:color w:val="000000"/>
          <w:sz w:val="24"/>
          <w:szCs w:val="24"/>
        </w:rPr>
        <w:t xml:space="preserve">. </w:t>
      </w:r>
      <w:r w:rsidRPr="00E55EF8">
        <w:rPr>
          <w:sz w:val="24"/>
          <w:szCs w:val="24"/>
        </w:rPr>
        <w:t xml:space="preserve">Pada data </w:t>
      </w:r>
      <w:proofErr w:type="spellStart"/>
      <w:r w:rsidRPr="00E55EF8">
        <w:rPr>
          <w:sz w:val="24"/>
          <w:szCs w:val="24"/>
        </w:rPr>
        <w:t>hasil</w:t>
      </w:r>
      <w:proofErr w:type="spellEnd"/>
      <w:r w:rsidRPr="00E55EF8">
        <w:rPr>
          <w:sz w:val="24"/>
          <w:szCs w:val="24"/>
        </w:rPr>
        <w:t xml:space="preserve"> </w:t>
      </w:r>
      <w:proofErr w:type="spellStart"/>
      <w:r w:rsidRPr="00E55EF8">
        <w:rPr>
          <w:sz w:val="24"/>
          <w:szCs w:val="24"/>
        </w:rPr>
        <w:t>penelitian</w:t>
      </w:r>
      <w:proofErr w:type="spellEnd"/>
      <w:r w:rsidRPr="00E55EF8">
        <w:rPr>
          <w:sz w:val="24"/>
          <w:szCs w:val="24"/>
        </w:rPr>
        <w:t xml:space="preserve"> </w:t>
      </w:r>
      <w:proofErr w:type="spellStart"/>
      <w:r w:rsidRPr="00E55EF8">
        <w:rPr>
          <w:sz w:val="24"/>
          <w:szCs w:val="24"/>
        </w:rPr>
        <w:t>pemberian</w:t>
      </w:r>
      <w:proofErr w:type="spellEnd"/>
      <w:r w:rsidRPr="00E55EF8">
        <w:rPr>
          <w:sz w:val="24"/>
          <w:szCs w:val="24"/>
        </w:rPr>
        <w:t xml:space="preserve"> </w:t>
      </w:r>
      <w:proofErr w:type="spellStart"/>
      <w:r w:rsidRPr="00E55EF8">
        <w:rPr>
          <w:sz w:val="24"/>
          <w:szCs w:val="24"/>
        </w:rPr>
        <w:t>terapi</w:t>
      </w:r>
      <w:proofErr w:type="spellEnd"/>
      <w:r w:rsidRPr="00E55EF8">
        <w:rPr>
          <w:sz w:val="24"/>
          <w:szCs w:val="24"/>
        </w:rPr>
        <w:t xml:space="preserve"> </w:t>
      </w:r>
      <w:proofErr w:type="spellStart"/>
      <w:r w:rsidRPr="00E55EF8">
        <w:rPr>
          <w:sz w:val="24"/>
          <w:szCs w:val="24"/>
        </w:rPr>
        <w:t>kombinasi</w:t>
      </w:r>
      <w:proofErr w:type="spellEnd"/>
      <w:r w:rsidRPr="00E55EF8">
        <w:rPr>
          <w:sz w:val="24"/>
          <w:szCs w:val="24"/>
        </w:rPr>
        <w:t xml:space="preserve"> </w:t>
      </w:r>
      <w:proofErr w:type="spellStart"/>
      <w:r w:rsidRPr="00E55EF8">
        <w:rPr>
          <w:sz w:val="24"/>
          <w:szCs w:val="24"/>
        </w:rPr>
        <w:t>dapaglifozin</w:t>
      </w:r>
      <w:proofErr w:type="spellEnd"/>
      <w:r w:rsidRPr="00E55EF8">
        <w:rPr>
          <w:sz w:val="24"/>
          <w:szCs w:val="24"/>
        </w:rPr>
        <w:t xml:space="preserve"> </w:t>
      </w:r>
      <w:proofErr w:type="spellStart"/>
      <w:r w:rsidRPr="00E55EF8">
        <w:rPr>
          <w:sz w:val="24"/>
          <w:szCs w:val="24"/>
        </w:rPr>
        <w:t>dengan</w:t>
      </w:r>
      <w:proofErr w:type="spellEnd"/>
      <w:r w:rsidRPr="00E55EF8">
        <w:rPr>
          <w:sz w:val="24"/>
          <w:szCs w:val="24"/>
        </w:rPr>
        <w:t xml:space="preserve"> glimepiride </w:t>
      </w:r>
      <w:proofErr w:type="spellStart"/>
      <w:r w:rsidRPr="00E55EF8">
        <w:rPr>
          <w:sz w:val="24"/>
          <w:szCs w:val="24"/>
        </w:rPr>
        <w:t>menunjukan</w:t>
      </w:r>
      <w:proofErr w:type="spellEnd"/>
      <w:r w:rsidRPr="00E55EF8">
        <w:rPr>
          <w:sz w:val="24"/>
          <w:szCs w:val="24"/>
        </w:rPr>
        <w:t xml:space="preserve"> </w:t>
      </w:r>
      <w:proofErr w:type="spellStart"/>
      <w:r w:rsidRPr="00E55EF8">
        <w:rPr>
          <w:sz w:val="24"/>
          <w:szCs w:val="24"/>
        </w:rPr>
        <w:t>adanya</w:t>
      </w:r>
      <w:proofErr w:type="spellEnd"/>
      <w:r w:rsidRPr="00E55EF8">
        <w:rPr>
          <w:sz w:val="24"/>
          <w:szCs w:val="24"/>
        </w:rPr>
        <w:t xml:space="preserve"> </w:t>
      </w:r>
      <w:proofErr w:type="spellStart"/>
      <w:r w:rsidRPr="00E55EF8">
        <w:rPr>
          <w:sz w:val="24"/>
          <w:szCs w:val="24"/>
        </w:rPr>
        <w:t>penurunan</w:t>
      </w:r>
      <w:proofErr w:type="spellEnd"/>
      <w:r w:rsidRPr="00E55EF8">
        <w:rPr>
          <w:sz w:val="24"/>
          <w:szCs w:val="24"/>
        </w:rPr>
        <w:t xml:space="preserve"> </w:t>
      </w:r>
      <w:proofErr w:type="spellStart"/>
      <w:r w:rsidRPr="00E55EF8">
        <w:rPr>
          <w:sz w:val="24"/>
          <w:szCs w:val="24"/>
        </w:rPr>
        <w:t>kadar</w:t>
      </w:r>
      <w:proofErr w:type="spellEnd"/>
      <w:r w:rsidRPr="00E55EF8">
        <w:rPr>
          <w:sz w:val="24"/>
          <w:szCs w:val="24"/>
        </w:rPr>
        <w:t xml:space="preserve"> gula </w:t>
      </w:r>
      <w:proofErr w:type="spellStart"/>
      <w:r w:rsidRPr="00E55EF8">
        <w:rPr>
          <w:sz w:val="24"/>
          <w:szCs w:val="24"/>
        </w:rPr>
        <w:t>darah</w:t>
      </w:r>
      <w:proofErr w:type="spellEnd"/>
      <w:r w:rsidRPr="00E55EF8">
        <w:rPr>
          <w:sz w:val="24"/>
          <w:szCs w:val="24"/>
        </w:rPr>
        <w:t xml:space="preserve"> </w:t>
      </w:r>
      <w:proofErr w:type="spellStart"/>
      <w:r>
        <w:rPr>
          <w:sz w:val="24"/>
          <w:szCs w:val="24"/>
        </w:rPr>
        <w:t>dengan</w:t>
      </w:r>
      <w:proofErr w:type="spellEnd"/>
      <w:r>
        <w:rPr>
          <w:sz w:val="24"/>
          <w:szCs w:val="24"/>
        </w:rPr>
        <w:t xml:space="preserve"> rata-rata </w:t>
      </w:r>
      <w:r w:rsidRPr="00D8047F">
        <w:rPr>
          <w:sz w:val="24"/>
          <w:szCs w:val="24"/>
        </w:rPr>
        <w:t>145.0 ± 4.66</w:t>
      </w:r>
      <w:r>
        <w:rPr>
          <w:sz w:val="24"/>
          <w:szCs w:val="24"/>
        </w:rPr>
        <w:t>.</w:t>
      </w:r>
    </w:p>
    <w:p w14:paraId="423E15C3" w14:textId="77777777" w:rsidR="00616031" w:rsidRDefault="002F43AE" w:rsidP="00616031">
      <w:pPr>
        <w:ind w:firstLine="450"/>
        <w:jc w:val="both"/>
        <w:rPr>
          <w:color w:val="000000"/>
          <w:sz w:val="24"/>
          <w:szCs w:val="24"/>
        </w:rPr>
      </w:pPr>
      <w:proofErr w:type="spellStart"/>
      <w:r w:rsidRPr="00E55EF8">
        <w:rPr>
          <w:sz w:val="24"/>
          <w:szCs w:val="24"/>
        </w:rPr>
        <w:t>Alternatif</w:t>
      </w:r>
      <w:proofErr w:type="spellEnd"/>
      <w:r w:rsidRPr="00E55EF8">
        <w:rPr>
          <w:sz w:val="24"/>
          <w:szCs w:val="24"/>
        </w:rPr>
        <w:t xml:space="preserve"> </w:t>
      </w:r>
      <w:proofErr w:type="spellStart"/>
      <w:r w:rsidRPr="00E55EF8">
        <w:rPr>
          <w:sz w:val="24"/>
          <w:szCs w:val="24"/>
        </w:rPr>
        <w:t>kombinasi</w:t>
      </w:r>
      <w:proofErr w:type="spellEnd"/>
      <w:r w:rsidRPr="00E55EF8">
        <w:rPr>
          <w:sz w:val="24"/>
          <w:szCs w:val="24"/>
        </w:rPr>
        <w:t xml:space="preserve"> yang </w:t>
      </w:r>
      <w:proofErr w:type="spellStart"/>
      <w:r w:rsidRPr="00E55EF8">
        <w:rPr>
          <w:sz w:val="24"/>
          <w:szCs w:val="24"/>
        </w:rPr>
        <w:t>potensial</w:t>
      </w:r>
      <w:proofErr w:type="spellEnd"/>
      <w:r w:rsidRPr="00E55EF8">
        <w:rPr>
          <w:sz w:val="24"/>
          <w:szCs w:val="24"/>
        </w:rPr>
        <w:t xml:space="preserve"> </w:t>
      </w:r>
      <w:proofErr w:type="spellStart"/>
      <w:r w:rsidRPr="00E55EF8">
        <w:rPr>
          <w:sz w:val="24"/>
          <w:szCs w:val="24"/>
        </w:rPr>
        <w:t>pemberian</w:t>
      </w:r>
      <w:proofErr w:type="spellEnd"/>
      <w:r w:rsidRPr="00E55EF8">
        <w:rPr>
          <w:sz w:val="24"/>
          <w:szCs w:val="24"/>
        </w:rPr>
        <w:t xml:space="preserve"> </w:t>
      </w:r>
      <w:proofErr w:type="spellStart"/>
      <w:r w:rsidRPr="00E55EF8">
        <w:rPr>
          <w:sz w:val="24"/>
          <w:szCs w:val="24"/>
        </w:rPr>
        <w:t>obat</w:t>
      </w:r>
      <w:proofErr w:type="spellEnd"/>
      <w:r w:rsidRPr="00E55EF8">
        <w:rPr>
          <w:sz w:val="24"/>
          <w:szCs w:val="24"/>
        </w:rPr>
        <w:t xml:space="preserve"> </w:t>
      </w:r>
      <w:proofErr w:type="spellStart"/>
      <w:r w:rsidRPr="00E55EF8">
        <w:rPr>
          <w:sz w:val="24"/>
          <w:szCs w:val="24"/>
        </w:rPr>
        <w:t>golongan</w:t>
      </w:r>
      <w:proofErr w:type="spellEnd"/>
      <w:r w:rsidRPr="00E55EF8">
        <w:rPr>
          <w:sz w:val="24"/>
          <w:szCs w:val="24"/>
        </w:rPr>
        <w:t xml:space="preserve"> SGLT-2 Inhibitor </w:t>
      </w:r>
      <w:proofErr w:type="spellStart"/>
      <w:r w:rsidRPr="00E55EF8">
        <w:rPr>
          <w:sz w:val="24"/>
          <w:szCs w:val="24"/>
        </w:rPr>
        <w:t>dengan</w:t>
      </w:r>
      <w:proofErr w:type="spellEnd"/>
      <w:r w:rsidRPr="00E55EF8">
        <w:rPr>
          <w:sz w:val="24"/>
          <w:szCs w:val="24"/>
        </w:rPr>
        <w:t xml:space="preserve"> DPP-4 inhibitor. </w:t>
      </w:r>
      <w:proofErr w:type="spellStart"/>
      <w:r w:rsidRPr="00E55EF8">
        <w:rPr>
          <w:sz w:val="24"/>
          <w:szCs w:val="24"/>
        </w:rPr>
        <w:t>Penelitian</w:t>
      </w:r>
      <w:proofErr w:type="spellEnd"/>
      <w:r w:rsidRPr="00E55EF8">
        <w:rPr>
          <w:sz w:val="24"/>
          <w:szCs w:val="24"/>
        </w:rPr>
        <w:t xml:space="preserve"> </w:t>
      </w:r>
      <w:proofErr w:type="spellStart"/>
      <w:r w:rsidRPr="00E55EF8">
        <w:rPr>
          <w:sz w:val="24"/>
          <w:szCs w:val="24"/>
        </w:rPr>
        <w:t>sebelumnya</w:t>
      </w:r>
      <w:proofErr w:type="spellEnd"/>
      <w:r w:rsidRPr="00E55EF8">
        <w:rPr>
          <w:sz w:val="24"/>
          <w:szCs w:val="24"/>
        </w:rPr>
        <w:t xml:space="preserve"> </w:t>
      </w:r>
      <w:proofErr w:type="spellStart"/>
      <w:r w:rsidRPr="00E55EF8">
        <w:rPr>
          <w:sz w:val="24"/>
          <w:szCs w:val="24"/>
        </w:rPr>
        <w:t>menunjukkan</w:t>
      </w:r>
      <w:proofErr w:type="spellEnd"/>
      <w:r w:rsidRPr="00E55EF8">
        <w:rPr>
          <w:sz w:val="24"/>
          <w:szCs w:val="24"/>
        </w:rPr>
        <w:t xml:space="preserve"> </w:t>
      </w:r>
      <w:proofErr w:type="spellStart"/>
      <w:r w:rsidRPr="00E55EF8">
        <w:rPr>
          <w:sz w:val="24"/>
          <w:szCs w:val="24"/>
        </w:rPr>
        <w:t>bahwa</w:t>
      </w:r>
      <w:proofErr w:type="spellEnd"/>
      <w:r w:rsidRPr="00E55EF8">
        <w:rPr>
          <w:sz w:val="24"/>
          <w:szCs w:val="24"/>
        </w:rPr>
        <w:t xml:space="preserve"> </w:t>
      </w:r>
      <w:proofErr w:type="spellStart"/>
      <w:r w:rsidRPr="00E55EF8">
        <w:rPr>
          <w:sz w:val="24"/>
          <w:szCs w:val="24"/>
        </w:rPr>
        <w:t>kombinasi</w:t>
      </w:r>
      <w:proofErr w:type="spellEnd"/>
      <w:r w:rsidRPr="00E55EF8">
        <w:rPr>
          <w:sz w:val="24"/>
          <w:szCs w:val="24"/>
        </w:rPr>
        <w:t xml:space="preserve"> SGLT-2 inhibitor dan DPP-4 inhibitor </w:t>
      </w:r>
      <w:proofErr w:type="spellStart"/>
      <w:r w:rsidRPr="00E55EF8">
        <w:rPr>
          <w:sz w:val="24"/>
          <w:szCs w:val="24"/>
        </w:rPr>
        <w:t>berpotensi</w:t>
      </w:r>
      <w:proofErr w:type="spellEnd"/>
      <w:r w:rsidRPr="00E55EF8">
        <w:rPr>
          <w:sz w:val="24"/>
          <w:szCs w:val="24"/>
        </w:rPr>
        <w:t xml:space="preserve"> </w:t>
      </w:r>
      <w:proofErr w:type="spellStart"/>
      <w:r w:rsidRPr="00E55EF8">
        <w:rPr>
          <w:sz w:val="24"/>
          <w:szCs w:val="24"/>
        </w:rPr>
        <w:t>menurunkan</w:t>
      </w:r>
      <w:proofErr w:type="spellEnd"/>
      <w:r>
        <w:rPr>
          <w:sz w:val="24"/>
          <w:szCs w:val="24"/>
        </w:rPr>
        <w:t xml:space="preserve"> </w:t>
      </w:r>
      <w:proofErr w:type="spellStart"/>
      <w:r>
        <w:rPr>
          <w:sz w:val="24"/>
          <w:szCs w:val="24"/>
        </w:rPr>
        <w:t>kadar</w:t>
      </w:r>
      <w:proofErr w:type="spellEnd"/>
      <w:r>
        <w:rPr>
          <w:sz w:val="24"/>
          <w:szCs w:val="24"/>
        </w:rPr>
        <w:t xml:space="preserve"> HbA1c </w:t>
      </w:r>
      <w:r>
        <w:rPr>
          <w:b/>
          <w:color w:val="000000"/>
          <w:sz w:val="24"/>
          <w:szCs w:val="24"/>
        </w:rPr>
        <w:fldChar w:fldCharType="begin" w:fldLock="1"/>
      </w:r>
      <w:r>
        <w:rPr>
          <w:color w:val="000000"/>
          <w:sz w:val="24"/>
          <w:szCs w:val="24"/>
        </w:rPr>
        <w:instrText>ADDIN CSL_CITATION {"citationItems":[{"id":"ITEM-1","itemData":{"DOI":"10.4103/ijem.IJEM_162_17","ISSN":"22309500","abstract":"Involvement of multiple physiological pathways and complex pathogenesis is responsible for the onset and progression of type 2 diabetes mellitus (T2DM). Since it is difficult to manage multiple pathophysiological defects by monotherapy, a combination therapy with two or more oral antidiabetic agents (OADs) may help achieve euglycemia in T2DM patients. Choice of OADs is difficult with growing armamentarium of antidiabetic therapy. Ideally, drug combination should aim at reversal of known pathogenic abnormalities and demonstrate improvement in the overall metabolic health rather than simply reduce glycosylated hemoglobin (HbA1c) levels. Increased glucose reabsorption, a faulty pathological mechanism, is targeted by a novel class of drugs, namely, the sodium-glucose cotransporter-2 (SGLT2) inhibitors. Combination of SGLT2 inhibitors and other OADs complement each other due to their unique mechanism of action. In addition, the glucose-lowering effect of SGLT2 inhibitors remains independent of β-cell function and insulin sensitivity which reduces the chances of severe hypoglycemia in patients receiving these agents. Clinical studies from the past favor the use of SGLT2 inhibitors in combination with other agents to achieve better HbA1c levels, weight loss, and blood pressure control. In this review, we have made an attempt to explore the recommended guidelines for combination therapy, its advantages as either combination therapy or fixed-dose combinations therapy, and the role of SGLT2 inhibitors as a choice of drug as a combination with other OADs.","author":[{"dropping-particle":"","family":"Kalra","given":"Sanjay","non-dropping-particle":"","parse-names":false,"suffix":""},{"dropping-particle":"","family":"Kesavadev","given":"Jothydev","non-dropping-particle":"","parse-names":false,"suffix":""},{"dropping-particle":"","family":"Chadha","given":"Manoj","non-dropping-particle":"","parse-names":false,"suffix":""},{"dropping-particle":"","family":"Vijaya Kumar","given":"G.","non-dropping-particle":"","parse-names":false,"suffix":""}],"container-title":"Indian Journal of Endocrinology and Metabolism","id":"ITEM-1","issue":"6","issued":{"date-parts":[["2018"]]},"page":"827-836","title":"Sodium-glucose cotransporter-2 inhibitors in combination with other glucose-lowering agents for the treatment of type 2 diabetes mellitus","type":"article-journal","volume":"22"},"uris":["http://www.mendeley.com/documents/?uuid=a8788bf4-bc1f-4c70-b225-cd293f5d8010"]}],"mendeley":{"formattedCitation":"(Kalra &lt;i&gt;et al.&lt;/i&gt;, 2018)","plainTextFormattedCitation":"(Kalra et al., 2018)","previouslyFormattedCitation":"(8)"},"properties":{"noteIndex":0},"schema":"https://github.com/citation-style-language/schema/raw/master/csl-citation.json"}</w:instrText>
      </w:r>
      <w:r>
        <w:rPr>
          <w:b/>
          <w:color w:val="000000"/>
          <w:sz w:val="24"/>
          <w:szCs w:val="24"/>
        </w:rPr>
        <w:fldChar w:fldCharType="separate"/>
      </w:r>
      <w:r w:rsidRPr="00DA390C">
        <w:rPr>
          <w:noProof/>
          <w:color w:val="000000"/>
          <w:sz w:val="24"/>
          <w:szCs w:val="24"/>
        </w:rPr>
        <w:t xml:space="preserve">(Kalra </w:t>
      </w:r>
      <w:r w:rsidRPr="00DA390C">
        <w:rPr>
          <w:i/>
          <w:noProof/>
          <w:color w:val="000000"/>
          <w:sz w:val="24"/>
          <w:szCs w:val="24"/>
        </w:rPr>
        <w:t>et al.</w:t>
      </w:r>
      <w:r w:rsidRPr="00DA390C">
        <w:rPr>
          <w:noProof/>
          <w:color w:val="000000"/>
          <w:sz w:val="24"/>
          <w:szCs w:val="24"/>
        </w:rPr>
        <w:t>, 2018)</w:t>
      </w:r>
      <w:r>
        <w:rPr>
          <w:b/>
          <w:color w:val="000000"/>
          <w:sz w:val="24"/>
          <w:szCs w:val="24"/>
        </w:rPr>
        <w:fldChar w:fldCharType="end"/>
      </w:r>
      <w:r>
        <w:rPr>
          <w:color w:val="000000"/>
          <w:sz w:val="24"/>
          <w:szCs w:val="24"/>
        </w:rPr>
        <w:t>.</w:t>
      </w:r>
      <w:r>
        <w:rPr>
          <w:sz w:val="24"/>
          <w:szCs w:val="24"/>
        </w:rPr>
        <w:t xml:space="preserve"> </w:t>
      </w:r>
      <w:proofErr w:type="spellStart"/>
      <w:r>
        <w:rPr>
          <w:sz w:val="24"/>
          <w:szCs w:val="24"/>
        </w:rPr>
        <w:t>Saxagliptin</w:t>
      </w:r>
      <w:proofErr w:type="spellEnd"/>
      <w:r w:rsidRPr="00E55EF8">
        <w:rPr>
          <w:sz w:val="24"/>
          <w:szCs w:val="24"/>
        </w:rPr>
        <w:t xml:space="preserve"> </w:t>
      </w:r>
      <w:proofErr w:type="spellStart"/>
      <w:r w:rsidRPr="00E55EF8">
        <w:rPr>
          <w:sz w:val="24"/>
          <w:szCs w:val="24"/>
        </w:rPr>
        <w:t>adalah</w:t>
      </w:r>
      <w:proofErr w:type="spellEnd"/>
      <w:r w:rsidRPr="00E55EF8">
        <w:rPr>
          <w:sz w:val="24"/>
          <w:szCs w:val="24"/>
        </w:rPr>
        <w:t xml:space="preserve"> </w:t>
      </w:r>
      <w:proofErr w:type="spellStart"/>
      <w:r w:rsidRPr="00E55EF8">
        <w:rPr>
          <w:sz w:val="24"/>
          <w:szCs w:val="24"/>
        </w:rPr>
        <w:t>penghambat</w:t>
      </w:r>
      <w:proofErr w:type="spellEnd"/>
      <w:r w:rsidRPr="00E55EF8">
        <w:rPr>
          <w:sz w:val="24"/>
          <w:szCs w:val="24"/>
        </w:rPr>
        <w:t xml:space="preserve"> DPP-4 yang </w:t>
      </w:r>
      <w:proofErr w:type="spellStart"/>
      <w:r w:rsidRPr="00E55EF8">
        <w:rPr>
          <w:sz w:val="24"/>
          <w:szCs w:val="24"/>
        </w:rPr>
        <w:t>meningkatkan</w:t>
      </w:r>
      <w:proofErr w:type="spellEnd"/>
      <w:r w:rsidRPr="00E55EF8">
        <w:rPr>
          <w:sz w:val="24"/>
          <w:szCs w:val="24"/>
        </w:rPr>
        <w:t xml:space="preserve"> </w:t>
      </w:r>
      <w:proofErr w:type="spellStart"/>
      <w:r w:rsidRPr="00E55EF8">
        <w:rPr>
          <w:sz w:val="24"/>
          <w:szCs w:val="24"/>
        </w:rPr>
        <w:t>kontrol</w:t>
      </w:r>
      <w:proofErr w:type="spellEnd"/>
      <w:r w:rsidRPr="00E55EF8">
        <w:rPr>
          <w:sz w:val="24"/>
          <w:szCs w:val="24"/>
        </w:rPr>
        <w:t xml:space="preserve"> </w:t>
      </w:r>
      <w:proofErr w:type="spellStart"/>
      <w:r w:rsidRPr="00E55EF8">
        <w:rPr>
          <w:sz w:val="24"/>
          <w:szCs w:val="24"/>
        </w:rPr>
        <w:t>glikemik</w:t>
      </w:r>
      <w:proofErr w:type="spellEnd"/>
      <w:r w:rsidRPr="00E55EF8">
        <w:rPr>
          <w:sz w:val="24"/>
          <w:szCs w:val="24"/>
        </w:rPr>
        <w:t xml:space="preserve"> </w:t>
      </w:r>
      <w:proofErr w:type="spellStart"/>
      <w:r w:rsidRPr="00E55EF8">
        <w:rPr>
          <w:sz w:val="24"/>
          <w:szCs w:val="24"/>
        </w:rPr>
        <w:t>dengan</w:t>
      </w:r>
      <w:proofErr w:type="spellEnd"/>
      <w:r w:rsidRPr="00E55EF8">
        <w:rPr>
          <w:sz w:val="24"/>
          <w:szCs w:val="24"/>
        </w:rPr>
        <w:t xml:space="preserve"> </w:t>
      </w:r>
      <w:proofErr w:type="spellStart"/>
      <w:r w:rsidRPr="00E55EF8">
        <w:rPr>
          <w:sz w:val="24"/>
          <w:szCs w:val="24"/>
        </w:rPr>
        <w:t>mencegah</w:t>
      </w:r>
      <w:proofErr w:type="spellEnd"/>
      <w:r w:rsidRPr="00E55EF8">
        <w:rPr>
          <w:sz w:val="24"/>
          <w:szCs w:val="24"/>
        </w:rPr>
        <w:t xml:space="preserve"> </w:t>
      </w:r>
      <w:proofErr w:type="spellStart"/>
      <w:r w:rsidRPr="00E55EF8">
        <w:rPr>
          <w:sz w:val="24"/>
          <w:szCs w:val="24"/>
        </w:rPr>
        <w:t>inaktivasi</w:t>
      </w:r>
      <w:proofErr w:type="spellEnd"/>
      <w:r w:rsidRPr="00E55EF8">
        <w:rPr>
          <w:sz w:val="24"/>
          <w:szCs w:val="24"/>
        </w:rPr>
        <w:t xml:space="preserve"> </w:t>
      </w:r>
      <w:proofErr w:type="spellStart"/>
      <w:r w:rsidRPr="00E55EF8">
        <w:rPr>
          <w:sz w:val="24"/>
          <w:szCs w:val="24"/>
        </w:rPr>
        <w:t>hormon</w:t>
      </w:r>
      <w:proofErr w:type="spellEnd"/>
      <w:r w:rsidRPr="00E55EF8">
        <w:rPr>
          <w:sz w:val="24"/>
          <w:szCs w:val="24"/>
        </w:rPr>
        <w:t xml:space="preserve"> incretin Glucagon like peptide-1 (GLP-1) dan </w:t>
      </w:r>
      <w:proofErr w:type="spellStart"/>
      <w:r w:rsidRPr="00E55EF8">
        <w:rPr>
          <w:sz w:val="24"/>
          <w:szCs w:val="24"/>
        </w:rPr>
        <w:t>polipeptida</w:t>
      </w:r>
      <w:proofErr w:type="spellEnd"/>
      <w:r w:rsidRPr="00E55EF8">
        <w:rPr>
          <w:sz w:val="24"/>
          <w:szCs w:val="24"/>
        </w:rPr>
        <w:t xml:space="preserve"> </w:t>
      </w:r>
      <w:proofErr w:type="spellStart"/>
      <w:r w:rsidRPr="00E55EF8">
        <w:rPr>
          <w:sz w:val="24"/>
          <w:szCs w:val="24"/>
        </w:rPr>
        <w:t>insulinotropik</w:t>
      </w:r>
      <w:proofErr w:type="spellEnd"/>
      <w:r w:rsidRPr="00E55EF8">
        <w:rPr>
          <w:sz w:val="24"/>
          <w:szCs w:val="24"/>
        </w:rPr>
        <w:t xml:space="preserve"> yang </w:t>
      </w:r>
      <w:proofErr w:type="spellStart"/>
      <w:r w:rsidRPr="00E55EF8">
        <w:rPr>
          <w:sz w:val="24"/>
          <w:szCs w:val="24"/>
        </w:rPr>
        <w:t>bergant</w:t>
      </w:r>
      <w:r>
        <w:rPr>
          <w:sz w:val="24"/>
          <w:szCs w:val="24"/>
        </w:rPr>
        <w:t>ung</w:t>
      </w:r>
      <w:proofErr w:type="spellEnd"/>
      <w:r>
        <w:rPr>
          <w:sz w:val="24"/>
          <w:szCs w:val="24"/>
        </w:rPr>
        <w:t xml:space="preserve"> pada </w:t>
      </w:r>
      <w:proofErr w:type="spellStart"/>
      <w:r>
        <w:rPr>
          <w:sz w:val="24"/>
          <w:szCs w:val="24"/>
        </w:rPr>
        <w:t>glukosa</w:t>
      </w:r>
      <w:proofErr w:type="spellEnd"/>
      <w:r>
        <w:rPr>
          <w:sz w:val="24"/>
          <w:szCs w:val="24"/>
        </w:rPr>
        <w:t xml:space="preserve"> </w:t>
      </w:r>
      <w:r>
        <w:rPr>
          <w:b/>
          <w:color w:val="000000"/>
          <w:sz w:val="24"/>
          <w:szCs w:val="24"/>
        </w:rPr>
        <w:fldChar w:fldCharType="begin" w:fldLock="1"/>
      </w:r>
      <w:r>
        <w:rPr>
          <w:color w:val="000000"/>
          <w:sz w:val="24"/>
          <w:szCs w:val="24"/>
        </w:rPr>
        <w:instrText>ADDIN CSL_CITATION {"citationItems":[{"id":"ITEM-1","itemData":{"DOI":"10.19106/jmedsci004802201606","ISSN":"01261312","abstract":"Diabetes mellitus (DM) is a chronic disease which caused around 1.5 million deaths in 2012. Type 2 diabetes mellitus (T2DM) accounts for 90% of DM worldwide. The prevalence of T2DM is increasing due to obesity. Clinical guidelines recommend the use of metformin as the first-line treatment, followed by the addition of 1 or 2 oral antidiabetic drugs (OADs), such as sulphonylurea (SU), an alpha-glucosidase inhibitor, or thiazolidinediones (TZDs). Recently, newer agents such as dipeptidyl peptidase 4 (DPP-4) inhibitors have been added to those treatment algorithms. The DPP-4 inhibitor is a class of OAD that inhibits the DPP-4 enzyme. Sitagliptin, saxagliptin, vildagliptin and linagliptin are DPP-4 inhibitors available for the treatment of T2DM in Indonesia and many other countries. The DPP-4 inhibitors have similar glycemic efficacy. However, they produce a moderate improvement in glycated hemoglobin (A1C). There are limited numbers of head-to-head trials of DPP-4 inhibitors. In addition, there are no data on the long-term DPP-4 inhibitors use safety (more than two years), mortality, diabetic complications, or health-related quality of life. Although DPP-inhibitors are not used as initial treatment for a majority of patients with T2DM, DPP-4 inhibitors can be used as add-on therapy in T2DM patients who are intolerant to, have contraindications for, or uncontrolled with the use of metformin, SU, or TZDs. The exact role of DPP-4 inhibitors among several other agents to manage T2DM is not clear. There are only a small number of long-term studies on DPP-4 inhibitors assessing the glycemic decrease efficacy, important clinical outcomes (cardiovascular events, mortality), or safety. In patients with chronic renal failure considered to use DPP-4 inhibitors, linagliptin can be recommended. There are inadequate data to assess the effect of DPP-4 inhibitors on the occurrence of acute pancreatitis. Overall, DPP-4 inhibitors are well-tolerated.","author":[{"dropping-particle":"","family":"Kristin","given":"Erna","non-dropping-particle":"","parse-names":false,"suffix":""}],"container-title":"Journal of thee Medical Sciences (Berkala Ilmu Kedokteran)","id":"ITEM-1","issue":"02","issued":{"date-parts":[["2016"]]},"page":"119-130","title":"Dipeptidyl Peptidase 4 (Dpp-4) Inhibitors for the Treatment of Type 2 Diabetes Mellitus","type":"article-journal","volume":"48"},"uris":["http://www.mendeley.com/documents/?uuid=7736e05d-95ab-4cd8-899a-7685a9a50af8"]}],"mendeley":{"formattedCitation":"(Kristin, 2016)","plainTextFormattedCitation":"(Kristin, 2016)","previouslyFormattedCitation":"(10)"},"properties":{"noteIndex":0},"schema":"https://github.com/citation-style-language/schema/raw/master/csl-citation.json"}</w:instrText>
      </w:r>
      <w:r>
        <w:rPr>
          <w:b/>
          <w:color w:val="000000"/>
          <w:sz w:val="24"/>
          <w:szCs w:val="24"/>
        </w:rPr>
        <w:fldChar w:fldCharType="separate"/>
      </w:r>
      <w:r w:rsidRPr="00DA390C">
        <w:rPr>
          <w:noProof/>
          <w:color w:val="000000"/>
          <w:sz w:val="24"/>
          <w:szCs w:val="24"/>
        </w:rPr>
        <w:t>(Kristin, 2016)</w:t>
      </w:r>
      <w:r>
        <w:rPr>
          <w:b/>
          <w:color w:val="000000"/>
          <w:sz w:val="24"/>
          <w:szCs w:val="24"/>
        </w:rPr>
        <w:fldChar w:fldCharType="end"/>
      </w:r>
      <w:r w:rsidRPr="00374843">
        <w:rPr>
          <w:color w:val="000000"/>
          <w:sz w:val="24"/>
          <w:szCs w:val="24"/>
        </w:rPr>
        <w:t>.</w:t>
      </w:r>
      <w:r w:rsidRPr="00E55EF8">
        <w:rPr>
          <w:sz w:val="24"/>
          <w:szCs w:val="24"/>
        </w:rPr>
        <w:t xml:space="preserve"> </w:t>
      </w:r>
      <w:proofErr w:type="spellStart"/>
      <w:r w:rsidRPr="00E55EF8">
        <w:rPr>
          <w:sz w:val="24"/>
          <w:szCs w:val="24"/>
        </w:rPr>
        <w:t>Hormon</w:t>
      </w:r>
      <w:proofErr w:type="spellEnd"/>
      <w:r w:rsidRPr="00E55EF8">
        <w:rPr>
          <w:sz w:val="24"/>
          <w:szCs w:val="24"/>
        </w:rPr>
        <w:t xml:space="preserve"> </w:t>
      </w:r>
      <w:proofErr w:type="spellStart"/>
      <w:r w:rsidRPr="00E55EF8">
        <w:rPr>
          <w:sz w:val="24"/>
          <w:szCs w:val="24"/>
        </w:rPr>
        <w:t>inkretin</w:t>
      </w:r>
      <w:proofErr w:type="spellEnd"/>
      <w:r w:rsidRPr="00E55EF8">
        <w:rPr>
          <w:sz w:val="24"/>
          <w:szCs w:val="24"/>
        </w:rPr>
        <w:t xml:space="preserve"> (GLP-1) </w:t>
      </w:r>
      <w:proofErr w:type="spellStart"/>
      <w:r w:rsidRPr="00E55EF8">
        <w:rPr>
          <w:sz w:val="24"/>
          <w:szCs w:val="24"/>
        </w:rPr>
        <w:t>dilepaskan</w:t>
      </w:r>
      <w:proofErr w:type="spellEnd"/>
      <w:r w:rsidRPr="00E55EF8">
        <w:rPr>
          <w:sz w:val="24"/>
          <w:szCs w:val="24"/>
        </w:rPr>
        <w:t xml:space="preserve"> </w:t>
      </w:r>
      <w:proofErr w:type="spellStart"/>
      <w:r w:rsidRPr="00E55EF8">
        <w:rPr>
          <w:sz w:val="24"/>
          <w:szCs w:val="24"/>
        </w:rPr>
        <w:t>dengan</w:t>
      </w:r>
      <w:proofErr w:type="spellEnd"/>
      <w:r w:rsidRPr="00E55EF8">
        <w:rPr>
          <w:sz w:val="24"/>
          <w:szCs w:val="24"/>
        </w:rPr>
        <w:t xml:space="preserve"> </w:t>
      </w:r>
      <w:proofErr w:type="spellStart"/>
      <w:r w:rsidRPr="00E55EF8">
        <w:rPr>
          <w:sz w:val="24"/>
          <w:szCs w:val="24"/>
        </w:rPr>
        <w:t>cepat</w:t>
      </w:r>
      <w:proofErr w:type="spellEnd"/>
      <w:r w:rsidRPr="00E55EF8">
        <w:rPr>
          <w:sz w:val="24"/>
          <w:szCs w:val="24"/>
        </w:rPr>
        <w:t xml:space="preserve">, </w:t>
      </w:r>
      <w:proofErr w:type="spellStart"/>
      <w:r w:rsidRPr="00E55EF8">
        <w:rPr>
          <w:sz w:val="24"/>
          <w:szCs w:val="24"/>
        </w:rPr>
        <w:t>peningkatan</w:t>
      </w:r>
      <w:proofErr w:type="spellEnd"/>
      <w:r w:rsidRPr="00E55EF8">
        <w:rPr>
          <w:sz w:val="24"/>
          <w:szCs w:val="24"/>
        </w:rPr>
        <w:t xml:space="preserve"> </w:t>
      </w:r>
      <w:proofErr w:type="spellStart"/>
      <w:r w:rsidRPr="00E55EF8">
        <w:rPr>
          <w:sz w:val="24"/>
          <w:szCs w:val="24"/>
        </w:rPr>
        <w:t>kadarnya</w:t>
      </w:r>
      <w:proofErr w:type="spellEnd"/>
      <w:r w:rsidRPr="00E55EF8">
        <w:rPr>
          <w:sz w:val="24"/>
          <w:szCs w:val="24"/>
        </w:rPr>
        <w:t xml:space="preserve"> </w:t>
      </w:r>
      <w:proofErr w:type="spellStart"/>
      <w:r w:rsidRPr="00E55EF8">
        <w:rPr>
          <w:sz w:val="24"/>
          <w:szCs w:val="24"/>
        </w:rPr>
        <w:t>sudah</w:t>
      </w:r>
      <w:proofErr w:type="spellEnd"/>
      <w:r w:rsidRPr="00E55EF8">
        <w:rPr>
          <w:sz w:val="24"/>
          <w:szCs w:val="24"/>
        </w:rPr>
        <w:t xml:space="preserve"> </w:t>
      </w:r>
      <w:proofErr w:type="spellStart"/>
      <w:r w:rsidRPr="00E55EF8">
        <w:rPr>
          <w:sz w:val="24"/>
          <w:szCs w:val="24"/>
        </w:rPr>
        <w:t>terlihat</w:t>
      </w:r>
      <w:proofErr w:type="spellEnd"/>
      <w:r w:rsidRPr="00E55EF8">
        <w:rPr>
          <w:sz w:val="24"/>
          <w:szCs w:val="24"/>
        </w:rPr>
        <w:t xml:space="preserve"> </w:t>
      </w:r>
      <w:proofErr w:type="spellStart"/>
      <w:r w:rsidRPr="00E55EF8">
        <w:rPr>
          <w:sz w:val="24"/>
          <w:szCs w:val="24"/>
        </w:rPr>
        <w:t>dalam</w:t>
      </w:r>
      <w:proofErr w:type="spellEnd"/>
      <w:r w:rsidRPr="00E55EF8">
        <w:rPr>
          <w:sz w:val="24"/>
          <w:szCs w:val="24"/>
        </w:rPr>
        <w:t xml:space="preserve"> </w:t>
      </w:r>
      <w:proofErr w:type="spellStart"/>
      <w:r w:rsidRPr="00E55EF8">
        <w:rPr>
          <w:sz w:val="24"/>
          <w:szCs w:val="24"/>
        </w:rPr>
        <w:t>waktu</w:t>
      </w:r>
      <w:proofErr w:type="spellEnd"/>
      <w:r w:rsidRPr="00E55EF8">
        <w:rPr>
          <w:sz w:val="24"/>
          <w:szCs w:val="24"/>
        </w:rPr>
        <w:t xml:space="preserve"> 15 </w:t>
      </w:r>
      <w:proofErr w:type="spellStart"/>
      <w:r w:rsidRPr="00E55EF8">
        <w:rPr>
          <w:sz w:val="24"/>
          <w:szCs w:val="24"/>
        </w:rPr>
        <w:t>menit</w:t>
      </w:r>
      <w:proofErr w:type="spellEnd"/>
      <w:r w:rsidRPr="00E55EF8">
        <w:rPr>
          <w:sz w:val="24"/>
          <w:szCs w:val="24"/>
        </w:rPr>
        <w:t xml:space="preserve"> </w:t>
      </w:r>
      <w:proofErr w:type="spellStart"/>
      <w:r w:rsidRPr="00E55EF8">
        <w:rPr>
          <w:sz w:val="24"/>
          <w:szCs w:val="24"/>
        </w:rPr>
        <w:t>setelah</w:t>
      </w:r>
      <w:proofErr w:type="spellEnd"/>
      <w:r w:rsidRPr="00E55EF8">
        <w:rPr>
          <w:sz w:val="24"/>
          <w:szCs w:val="24"/>
        </w:rPr>
        <w:t xml:space="preserve"> </w:t>
      </w:r>
      <w:proofErr w:type="spellStart"/>
      <w:r w:rsidRPr="00E55EF8">
        <w:rPr>
          <w:sz w:val="24"/>
          <w:szCs w:val="24"/>
        </w:rPr>
        <w:t>makanan</w:t>
      </w:r>
      <w:proofErr w:type="spellEnd"/>
      <w:r w:rsidRPr="00E55EF8">
        <w:rPr>
          <w:sz w:val="24"/>
          <w:szCs w:val="24"/>
        </w:rPr>
        <w:t xml:space="preserve"> </w:t>
      </w:r>
      <w:proofErr w:type="spellStart"/>
      <w:r w:rsidRPr="00E55EF8">
        <w:rPr>
          <w:sz w:val="24"/>
          <w:szCs w:val="24"/>
        </w:rPr>
        <w:t>dikonsumsi</w:t>
      </w:r>
      <w:proofErr w:type="spellEnd"/>
      <w:r w:rsidRPr="00E55EF8">
        <w:rPr>
          <w:sz w:val="24"/>
          <w:szCs w:val="24"/>
        </w:rPr>
        <w:t xml:space="preserve">. Setelah </w:t>
      </w:r>
      <w:proofErr w:type="spellStart"/>
      <w:r w:rsidRPr="00E55EF8">
        <w:rPr>
          <w:sz w:val="24"/>
          <w:szCs w:val="24"/>
        </w:rPr>
        <w:t>dilepaskan</w:t>
      </w:r>
      <w:proofErr w:type="spellEnd"/>
      <w:r w:rsidRPr="00E55EF8">
        <w:rPr>
          <w:sz w:val="24"/>
          <w:szCs w:val="24"/>
        </w:rPr>
        <w:t xml:space="preserve"> </w:t>
      </w:r>
      <w:proofErr w:type="spellStart"/>
      <w:r w:rsidRPr="00E55EF8">
        <w:rPr>
          <w:sz w:val="24"/>
          <w:szCs w:val="24"/>
        </w:rPr>
        <w:t>hormon</w:t>
      </w:r>
      <w:proofErr w:type="spellEnd"/>
      <w:r w:rsidRPr="00E55EF8">
        <w:rPr>
          <w:sz w:val="24"/>
          <w:szCs w:val="24"/>
        </w:rPr>
        <w:t xml:space="preserve"> </w:t>
      </w:r>
      <w:proofErr w:type="spellStart"/>
      <w:r w:rsidRPr="00E55EF8">
        <w:rPr>
          <w:sz w:val="24"/>
          <w:szCs w:val="24"/>
        </w:rPr>
        <w:t>ini</w:t>
      </w:r>
      <w:proofErr w:type="spellEnd"/>
      <w:r w:rsidRPr="00E55EF8">
        <w:rPr>
          <w:sz w:val="24"/>
          <w:szCs w:val="24"/>
        </w:rPr>
        <w:t xml:space="preserve"> </w:t>
      </w:r>
      <w:proofErr w:type="spellStart"/>
      <w:r w:rsidRPr="00E55EF8">
        <w:rPr>
          <w:sz w:val="24"/>
          <w:szCs w:val="24"/>
        </w:rPr>
        <w:t>akan</w:t>
      </w:r>
      <w:proofErr w:type="spellEnd"/>
      <w:r w:rsidRPr="00E55EF8">
        <w:rPr>
          <w:sz w:val="24"/>
          <w:szCs w:val="24"/>
        </w:rPr>
        <w:t xml:space="preserve"> </w:t>
      </w:r>
      <w:proofErr w:type="spellStart"/>
      <w:r w:rsidRPr="00E55EF8">
        <w:rPr>
          <w:sz w:val="24"/>
          <w:szCs w:val="24"/>
        </w:rPr>
        <w:t>cepat</w:t>
      </w:r>
      <w:proofErr w:type="spellEnd"/>
      <w:r w:rsidRPr="00E55EF8">
        <w:rPr>
          <w:sz w:val="24"/>
          <w:szCs w:val="24"/>
        </w:rPr>
        <w:t xml:space="preserve"> </w:t>
      </w:r>
      <w:proofErr w:type="spellStart"/>
      <w:r w:rsidRPr="00E55EF8">
        <w:rPr>
          <w:sz w:val="24"/>
          <w:szCs w:val="24"/>
        </w:rPr>
        <w:t>didegradasi</w:t>
      </w:r>
      <w:proofErr w:type="spellEnd"/>
      <w:r w:rsidRPr="00E55EF8">
        <w:rPr>
          <w:sz w:val="24"/>
          <w:szCs w:val="24"/>
        </w:rPr>
        <w:t xml:space="preserve"> oleh </w:t>
      </w:r>
      <w:proofErr w:type="spellStart"/>
      <w:r w:rsidRPr="00E55EF8">
        <w:rPr>
          <w:sz w:val="24"/>
          <w:szCs w:val="24"/>
        </w:rPr>
        <w:t>enzim</w:t>
      </w:r>
      <w:proofErr w:type="spellEnd"/>
      <w:r w:rsidRPr="00E55EF8">
        <w:rPr>
          <w:sz w:val="24"/>
          <w:szCs w:val="24"/>
        </w:rPr>
        <w:t xml:space="preserve"> DPP-4 dan lama </w:t>
      </w:r>
      <w:proofErr w:type="spellStart"/>
      <w:r w:rsidRPr="00E55EF8">
        <w:rPr>
          <w:sz w:val="24"/>
          <w:szCs w:val="24"/>
        </w:rPr>
        <w:t>kelamaan</w:t>
      </w:r>
      <w:proofErr w:type="spellEnd"/>
      <w:r w:rsidRPr="00E55EF8">
        <w:rPr>
          <w:sz w:val="24"/>
          <w:szCs w:val="24"/>
        </w:rPr>
        <w:t xml:space="preserve"> </w:t>
      </w:r>
      <w:proofErr w:type="spellStart"/>
      <w:r w:rsidRPr="00E55EF8">
        <w:rPr>
          <w:sz w:val="24"/>
          <w:szCs w:val="24"/>
        </w:rPr>
        <w:t>hilang</w:t>
      </w:r>
      <w:proofErr w:type="spellEnd"/>
      <w:r w:rsidRPr="00E55EF8">
        <w:rPr>
          <w:sz w:val="24"/>
          <w:szCs w:val="24"/>
        </w:rPr>
        <w:t xml:space="preserve">. GLP-1 </w:t>
      </w:r>
      <w:proofErr w:type="spellStart"/>
      <w:r w:rsidRPr="00E55EF8">
        <w:rPr>
          <w:sz w:val="24"/>
          <w:szCs w:val="24"/>
        </w:rPr>
        <w:t>adalah</w:t>
      </w:r>
      <w:proofErr w:type="spellEnd"/>
      <w:r w:rsidRPr="00E55EF8">
        <w:rPr>
          <w:sz w:val="24"/>
          <w:szCs w:val="24"/>
        </w:rPr>
        <w:t xml:space="preserve"> </w:t>
      </w:r>
      <w:proofErr w:type="spellStart"/>
      <w:r w:rsidRPr="00E55EF8">
        <w:rPr>
          <w:sz w:val="24"/>
          <w:szCs w:val="24"/>
        </w:rPr>
        <w:t>suatu</w:t>
      </w:r>
      <w:proofErr w:type="spellEnd"/>
      <w:r w:rsidRPr="00E55EF8">
        <w:rPr>
          <w:sz w:val="24"/>
          <w:szCs w:val="24"/>
        </w:rPr>
        <w:t xml:space="preserve"> hormone </w:t>
      </w:r>
      <w:proofErr w:type="spellStart"/>
      <w:r w:rsidRPr="00E55EF8">
        <w:rPr>
          <w:sz w:val="24"/>
          <w:szCs w:val="24"/>
        </w:rPr>
        <w:t>hiperglikemik</w:t>
      </w:r>
      <w:proofErr w:type="spellEnd"/>
      <w:r w:rsidRPr="00E55EF8">
        <w:rPr>
          <w:sz w:val="24"/>
          <w:szCs w:val="24"/>
        </w:rPr>
        <w:t xml:space="preserve"> yang </w:t>
      </w:r>
      <w:proofErr w:type="spellStart"/>
      <w:r w:rsidRPr="00E55EF8">
        <w:rPr>
          <w:sz w:val="24"/>
          <w:szCs w:val="24"/>
        </w:rPr>
        <w:t>mempunyai</w:t>
      </w:r>
      <w:proofErr w:type="spellEnd"/>
      <w:r w:rsidRPr="00E55EF8">
        <w:rPr>
          <w:sz w:val="24"/>
          <w:szCs w:val="24"/>
        </w:rPr>
        <w:t xml:space="preserve"> </w:t>
      </w:r>
      <w:proofErr w:type="spellStart"/>
      <w:r w:rsidRPr="00E55EF8">
        <w:rPr>
          <w:sz w:val="24"/>
          <w:szCs w:val="24"/>
        </w:rPr>
        <w:t>peran</w:t>
      </w:r>
      <w:proofErr w:type="spellEnd"/>
      <w:r w:rsidRPr="00E55EF8">
        <w:rPr>
          <w:sz w:val="24"/>
          <w:szCs w:val="24"/>
        </w:rPr>
        <w:t xml:space="preserve"> </w:t>
      </w:r>
      <w:proofErr w:type="spellStart"/>
      <w:r w:rsidRPr="00E55EF8">
        <w:rPr>
          <w:sz w:val="24"/>
          <w:szCs w:val="24"/>
        </w:rPr>
        <w:t>untuk</w:t>
      </w:r>
      <w:proofErr w:type="spellEnd"/>
      <w:r w:rsidRPr="00E55EF8">
        <w:rPr>
          <w:sz w:val="24"/>
          <w:szCs w:val="24"/>
        </w:rPr>
        <w:t xml:space="preserve"> </w:t>
      </w:r>
      <w:proofErr w:type="spellStart"/>
      <w:r w:rsidRPr="00E55EF8">
        <w:rPr>
          <w:sz w:val="24"/>
          <w:szCs w:val="24"/>
        </w:rPr>
        <w:t>memperpanjang</w:t>
      </w:r>
      <w:proofErr w:type="spellEnd"/>
      <w:r w:rsidRPr="00E55EF8">
        <w:rPr>
          <w:sz w:val="24"/>
          <w:szCs w:val="24"/>
        </w:rPr>
        <w:t xml:space="preserve"> </w:t>
      </w:r>
      <w:proofErr w:type="spellStart"/>
      <w:r w:rsidRPr="00E55EF8">
        <w:rPr>
          <w:sz w:val="24"/>
          <w:szCs w:val="24"/>
        </w:rPr>
        <w:t>penyerapan</w:t>
      </w:r>
      <w:proofErr w:type="spellEnd"/>
      <w:r w:rsidRPr="00E55EF8">
        <w:rPr>
          <w:sz w:val="24"/>
          <w:szCs w:val="24"/>
        </w:rPr>
        <w:t xml:space="preserve"> insulin </w:t>
      </w:r>
      <w:proofErr w:type="spellStart"/>
      <w:r w:rsidRPr="00E55EF8">
        <w:rPr>
          <w:sz w:val="24"/>
          <w:szCs w:val="24"/>
        </w:rPr>
        <w:t>dari</w:t>
      </w:r>
      <w:proofErr w:type="spellEnd"/>
      <w:r w:rsidRPr="00E55EF8">
        <w:rPr>
          <w:sz w:val="24"/>
          <w:szCs w:val="24"/>
        </w:rPr>
        <w:t xml:space="preserve"> </w:t>
      </w:r>
      <w:proofErr w:type="spellStart"/>
      <w:r w:rsidRPr="00E55EF8">
        <w:rPr>
          <w:sz w:val="24"/>
          <w:szCs w:val="24"/>
        </w:rPr>
        <w:t>saluran</w:t>
      </w:r>
      <w:proofErr w:type="spellEnd"/>
      <w:r w:rsidRPr="00E55EF8">
        <w:rPr>
          <w:sz w:val="24"/>
          <w:szCs w:val="24"/>
        </w:rPr>
        <w:t xml:space="preserve"> </w:t>
      </w:r>
      <w:proofErr w:type="spellStart"/>
      <w:r w:rsidRPr="00E55EF8">
        <w:rPr>
          <w:sz w:val="24"/>
          <w:szCs w:val="24"/>
        </w:rPr>
        <w:t>pencernaan</w:t>
      </w:r>
      <w:proofErr w:type="spellEnd"/>
      <w:r w:rsidRPr="00E55EF8">
        <w:rPr>
          <w:sz w:val="24"/>
          <w:szCs w:val="24"/>
        </w:rPr>
        <w:t xml:space="preserve"> dan </w:t>
      </w:r>
      <w:proofErr w:type="spellStart"/>
      <w:r w:rsidRPr="00E55EF8">
        <w:rPr>
          <w:sz w:val="24"/>
          <w:szCs w:val="24"/>
        </w:rPr>
        <w:t>mempunyai</w:t>
      </w:r>
      <w:proofErr w:type="spellEnd"/>
      <w:r w:rsidRPr="00E55EF8">
        <w:rPr>
          <w:sz w:val="24"/>
          <w:szCs w:val="24"/>
        </w:rPr>
        <w:t xml:space="preserve"> </w:t>
      </w:r>
      <w:proofErr w:type="spellStart"/>
      <w:r w:rsidRPr="00E55EF8">
        <w:rPr>
          <w:sz w:val="24"/>
          <w:szCs w:val="24"/>
        </w:rPr>
        <w:t>peran</w:t>
      </w:r>
      <w:proofErr w:type="spellEnd"/>
      <w:r w:rsidRPr="00E55EF8">
        <w:rPr>
          <w:sz w:val="24"/>
          <w:szCs w:val="24"/>
        </w:rPr>
        <w:t xml:space="preserve"> </w:t>
      </w:r>
      <w:proofErr w:type="spellStart"/>
      <w:r w:rsidRPr="00E55EF8">
        <w:rPr>
          <w:sz w:val="24"/>
          <w:szCs w:val="24"/>
        </w:rPr>
        <w:t>penting</w:t>
      </w:r>
      <w:proofErr w:type="spellEnd"/>
      <w:r w:rsidRPr="00E55EF8">
        <w:rPr>
          <w:sz w:val="24"/>
          <w:szCs w:val="24"/>
        </w:rPr>
        <w:t xml:space="preserve"> </w:t>
      </w:r>
      <w:proofErr w:type="spellStart"/>
      <w:r w:rsidRPr="00E55EF8">
        <w:rPr>
          <w:sz w:val="24"/>
          <w:szCs w:val="24"/>
        </w:rPr>
        <w:t>dalam</w:t>
      </w:r>
      <w:proofErr w:type="spellEnd"/>
      <w:r w:rsidRPr="00E55EF8">
        <w:rPr>
          <w:sz w:val="24"/>
          <w:szCs w:val="24"/>
        </w:rPr>
        <w:t xml:space="preserve"> </w:t>
      </w:r>
      <w:proofErr w:type="spellStart"/>
      <w:r w:rsidRPr="00E55EF8">
        <w:rPr>
          <w:sz w:val="24"/>
          <w:szCs w:val="24"/>
        </w:rPr>
        <w:t>pemeliharaan</w:t>
      </w:r>
      <w:proofErr w:type="spellEnd"/>
      <w:r w:rsidRPr="00E55EF8">
        <w:rPr>
          <w:sz w:val="24"/>
          <w:szCs w:val="24"/>
        </w:rPr>
        <w:t xml:space="preserve"> homeostasis </w:t>
      </w:r>
      <w:proofErr w:type="spellStart"/>
      <w:r w:rsidRPr="00E55EF8">
        <w:rPr>
          <w:sz w:val="24"/>
          <w:szCs w:val="24"/>
        </w:rPr>
        <w:t>dengan</w:t>
      </w:r>
      <w:proofErr w:type="spellEnd"/>
      <w:r w:rsidRPr="00E55EF8">
        <w:rPr>
          <w:sz w:val="24"/>
          <w:szCs w:val="24"/>
        </w:rPr>
        <w:t xml:space="preserve"> </w:t>
      </w:r>
      <w:proofErr w:type="spellStart"/>
      <w:r w:rsidRPr="00E55EF8">
        <w:rPr>
          <w:sz w:val="24"/>
          <w:szCs w:val="24"/>
        </w:rPr>
        <w:t>melibatkan</w:t>
      </w:r>
      <w:proofErr w:type="spellEnd"/>
      <w:r w:rsidRPr="00E55EF8">
        <w:rPr>
          <w:sz w:val="24"/>
          <w:szCs w:val="24"/>
        </w:rPr>
        <w:t xml:space="preserve"> </w:t>
      </w:r>
      <w:proofErr w:type="spellStart"/>
      <w:r w:rsidRPr="00E55EF8">
        <w:rPr>
          <w:sz w:val="24"/>
          <w:szCs w:val="24"/>
        </w:rPr>
        <w:t>peningkatan</w:t>
      </w:r>
      <w:proofErr w:type="spellEnd"/>
      <w:r w:rsidRPr="00E55EF8">
        <w:rPr>
          <w:sz w:val="24"/>
          <w:szCs w:val="24"/>
        </w:rPr>
        <w:t xml:space="preserve"> </w:t>
      </w:r>
      <w:proofErr w:type="spellStart"/>
      <w:r w:rsidRPr="00E55EF8">
        <w:rPr>
          <w:sz w:val="24"/>
          <w:szCs w:val="24"/>
        </w:rPr>
        <w:t>ekspresi</w:t>
      </w:r>
      <w:proofErr w:type="spellEnd"/>
      <w:r w:rsidRPr="00E55EF8">
        <w:rPr>
          <w:sz w:val="24"/>
          <w:szCs w:val="24"/>
        </w:rPr>
        <w:t xml:space="preserve"> GLUT-2 (</w:t>
      </w:r>
      <w:r w:rsidRPr="007128E0">
        <w:rPr>
          <w:i/>
          <w:sz w:val="24"/>
          <w:szCs w:val="24"/>
        </w:rPr>
        <w:t>Glucose transporter 2</w:t>
      </w:r>
      <w:r w:rsidRPr="00E55EF8">
        <w:rPr>
          <w:sz w:val="24"/>
          <w:szCs w:val="24"/>
        </w:rPr>
        <w:t>)</w:t>
      </w:r>
      <w:r>
        <w:rPr>
          <w:sz w:val="24"/>
          <w:szCs w:val="24"/>
        </w:rPr>
        <w:t xml:space="preserve"> </w:t>
      </w:r>
      <w:r>
        <w:rPr>
          <w:b/>
          <w:color w:val="000000"/>
          <w:sz w:val="24"/>
          <w:szCs w:val="24"/>
        </w:rPr>
        <w:fldChar w:fldCharType="begin" w:fldLock="1"/>
      </w:r>
      <w:r>
        <w:rPr>
          <w:color w:val="000000"/>
          <w:sz w:val="24"/>
          <w:szCs w:val="24"/>
        </w:rPr>
        <w:instrText>ADDIN CSL_CITATION {"citationItems":[{"id":"ITEM-1","itemData":{"DOI":"10.1016/j.molmet.2019.09.010","ISSN":"22128778","PMID":"31767182","abstract":"Background: The glucagon-like peptide-1 (GLP-1) is a multifaceted hormone with broad pharmacological potential. Among the numerous metabolic effects of GLP-1 are the glucose-dependent stimulation of insulin secretion, decrease of gastric emptying, inhibition of food intake, increase of natriuresis and diuresis, and modulation of rodent β-cell proliferation. GLP-1 also has cardio- and neuroprotective effects, decreases inflammation and apoptosis, and has implications for learning and memory, reward behavior, and palatability. Biochemically modified for enhanced potency and sustained action, GLP-1 receptor agonists are successfully in clinical use for the treatment of type-2 diabetes, and several GLP-1-based pharmacotherapies are in clinical evaluation for the treatment of obesity. Scope of review: In this review, we provide a detailed overview on the multifaceted nature of GLP-1 and its pharmacology and discuss its therapeutic implications on various diseases. Major conclusions: Since its discovery, GLP-1 has emerged as a pleiotropic hormone with a myriad of metabolic functions that go well beyond its classical identification as an incretin hormone. The numerous beneficial effects of GLP-1 render this hormone an interesting candidate for the development of pharmacotherapies to treat obesity, diabetes, and neurodegenerative disorders","author":[{"dropping-particle":"","family":"Muller","given":"T. D.","non-dropping-particle":"","parse-names":false,"suffix":""},{"dropping-particle":"","family":"Finan","given":"B.","non-dropping-particle":"","parse-names":false,"suffix":""},{"dropping-particle":"","family":"Bloom","given":"S. R.","non-dropping-particle":"","parse-names":false,"suffix":""},{"dropping-particle":"","family":"D'Alessio","given":"D.","non-dropping-particle":"","parse-names":false,"suffix":""},{"dropping-particle":"","family":"Drucker","given":"D. J.","non-dropping-particle":"","parse-names":false,"suffix":""},{"dropping-particle":"","family":"Flatt","given":"P. R.","non-dropping-particle":"","parse-names":false,"suffix":""},{"dropping-particle":"","family":"Fritsche","given":"A.","non-dropping-particle":"","parse-names":false,"suffix":""},{"dropping-particle":"","family":"Gribble","given":"F.","non-dropping-particle":"","parse-names":false,"suffix":""},{"dropping-particle":"","family":"Grill","given":"H. J.","non-dropping-particle":"","parse-names":false,"suffix":""},{"dropping-particle":"","family":"Habener","given":"J. F.","non-dropping-particle":"","parse-names":false,"suffix":""},{"dropping-particle":"","family":"Holst","given":"J. J.","non-dropping-particle":"","parse-names":false,"suffix":""},{"dropping-particle":"","family":"Langhans","given":"W.","non-dropping-particle":"","parse-names":false,"suffix":""},{"dropping-particle":"","family":"Meier","given":"J. J.","non-dropping-particle":"","parse-names":false,"suffix":""},{"dropping-particle":"","family":"Nauck","given":"M. A.","non-dropping-particle":"","parse-names":false,"suffix":""},{"dropping-particle":"","family":"Perez-Tilve","given":"D.","non-dropping-particle":"","parse-names":false,"suffix":""},{"dropping-particle":"","family":"Pocai","given":"A.","non-dropping-particle":"","parse-names":false,"suffix":""},{"dropping-particle":"","family":"Reimann","given":"F.","non-dropping-particle":"","parse-names":false,"suffix":""},{"dropping-particle":"","family":"Sandoval","given":"D. A.","non-dropping-particle":"","parse-names":false,"suffix":""},{"dropping-particle":"","family":"Schwartz","given":"T. W.","non-dropping-particle":"","parse-names":false,"suffix":""},{"dropping-particle":"","family":"Seeley","given":"R. J.","non-dropping-particle":"","parse-names":false,"suffix":""},{"dropping-particle":"","family":"Stemmer","given":"K.","non-dropping-particle":"","parse-names":false,"suffix":""},{"dropping-particle":"","family":"Tang-Christensen","given":"M.","non-dropping-particle":"","parse-names":false,"suffix":""},{"dropping-particle":"","family":"Woods","given":"S. C.","non-dropping-particle":"","parse-names":false,"suffix":""},{"dropping-particle":"","family":"DiMarchi","given":"R. D.","non-dropping-particle":"","parse-names":false,"suffix":""},{"dropping-particle":"","family":"Tschöp","given":"M. H.","non-dropping-particle":"","parse-names":false,"suffix":""}],"container-title":"Molecular Metabolism","id":"ITEM-1","issued":{"date-parts":[["2019"]]},"page":"72-130","publisher":"Elsevier GmbH","title":"Glucagon-like peptide 1 (GLP-1)","type":"article-journal","volume":"30"},"uris":["http://www.mendeley.com/documents/?uuid=e8d3dba7-5ada-4cac-a06d-fa33de52beb9"]}],"mendeley":{"formattedCitation":"(Muller &lt;i&gt;et al.&lt;/i&gt;, 2019)","plainTextFormattedCitation":"(Muller et al., 2019)","previouslyFormattedCitation":"(11)"},"properties":{"noteIndex":0},"schema":"https://github.com/citation-style-language/schema/raw/master/csl-citation.json"}</w:instrText>
      </w:r>
      <w:r>
        <w:rPr>
          <w:b/>
          <w:color w:val="000000"/>
          <w:sz w:val="24"/>
          <w:szCs w:val="24"/>
        </w:rPr>
        <w:fldChar w:fldCharType="separate"/>
      </w:r>
      <w:r w:rsidRPr="00DA390C">
        <w:rPr>
          <w:noProof/>
          <w:color w:val="000000"/>
          <w:sz w:val="24"/>
          <w:szCs w:val="24"/>
        </w:rPr>
        <w:t xml:space="preserve">(Muller </w:t>
      </w:r>
      <w:r w:rsidRPr="00DA390C">
        <w:rPr>
          <w:i/>
          <w:noProof/>
          <w:color w:val="000000"/>
          <w:sz w:val="24"/>
          <w:szCs w:val="24"/>
        </w:rPr>
        <w:t>et al.</w:t>
      </w:r>
      <w:r w:rsidRPr="00DA390C">
        <w:rPr>
          <w:noProof/>
          <w:color w:val="000000"/>
          <w:sz w:val="24"/>
          <w:szCs w:val="24"/>
        </w:rPr>
        <w:t>, 2019)</w:t>
      </w:r>
      <w:r>
        <w:rPr>
          <w:b/>
          <w:color w:val="000000"/>
          <w:sz w:val="24"/>
          <w:szCs w:val="24"/>
        </w:rPr>
        <w:fldChar w:fldCharType="end"/>
      </w:r>
      <w:r>
        <w:rPr>
          <w:color w:val="000000"/>
          <w:sz w:val="24"/>
          <w:szCs w:val="24"/>
        </w:rPr>
        <w:t xml:space="preserve">. </w:t>
      </w:r>
      <w:r w:rsidR="00616031" w:rsidRPr="00E55EF8">
        <w:rPr>
          <w:sz w:val="24"/>
          <w:szCs w:val="24"/>
        </w:rPr>
        <w:t xml:space="preserve">Pada data </w:t>
      </w:r>
      <w:proofErr w:type="spellStart"/>
      <w:r w:rsidR="00616031" w:rsidRPr="00E55EF8">
        <w:rPr>
          <w:sz w:val="24"/>
          <w:szCs w:val="24"/>
        </w:rPr>
        <w:t>hasil</w:t>
      </w:r>
      <w:proofErr w:type="spellEnd"/>
      <w:r w:rsidR="00616031" w:rsidRPr="00E55EF8">
        <w:rPr>
          <w:sz w:val="24"/>
          <w:szCs w:val="24"/>
        </w:rPr>
        <w:t xml:space="preserve"> </w:t>
      </w:r>
      <w:proofErr w:type="spellStart"/>
      <w:r w:rsidR="00616031" w:rsidRPr="00E55EF8">
        <w:rPr>
          <w:sz w:val="24"/>
          <w:szCs w:val="24"/>
        </w:rPr>
        <w:t>penelitian</w:t>
      </w:r>
      <w:proofErr w:type="spellEnd"/>
      <w:r w:rsidR="00616031" w:rsidRPr="00E55EF8">
        <w:rPr>
          <w:sz w:val="24"/>
          <w:szCs w:val="24"/>
        </w:rPr>
        <w:t xml:space="preserve"> </w:t>
      </w:r>
      <w:proofErr w:type="spellStart"/>
      <w:r w:rsidR="00616031" w:rsidRPr="00E55EF8">
        <w:rPr>
          <w:sz w:val="24"/>
          <w:szCs w:val="24"/>
        </w:rPr>
        <w:t>pemberian</w:t>
      </w:r>
      <w:proofErr w:type="spellEnd"/>
      <w:r w:rsidR="00616031" w:rsidRPr="00E55EF8">
        <w:rPr>
          <w:sz w:val="24"/>
          <w:szCs w:val="24"/>
        </w:rPr>
        <w:t xml:space="preserve"> </w:t>
      </w:r>
      <w:proofErr w:type="spellStart"/>
      <w:r w:rsidR="00616031" w:rsidRPr="00E55EF8">
        <w:rPr>
          <w:sz w:val="24"/>
          <w:szCs w:val="24"/>
        </w:rPr>
        <w:t>terapi</w:t>
      </w:r>
      <w:proofErr w:type="spellEnd"/>
      <w:r w:rsidR="00616031" w:rsidRPr="00E55EF8">
        <w:rPr>
          <w:sz w:val="24"/>
          <w:szCs w:val="24"/>
        </w:rPr>
        <w:t xml:space="preserve"> </w:t>
      </w:r>
      <w:proofErr w:type="spellStart"/>
      <w:r w:rsidR="00616031" w:rsidRPr="00E55EF8">
        <w:rPr>
          <w:sz w:val="24"/>
          <w:szCs w:val="24"/>
        </w:rPr>
        <w:t>kombinasi</w:t>
      </w:r>
      <w:proofErr w:type="spellEnd"/>
      <w:r w:rsidR="00616031" w:rsidRPr="00E55EF8">
        <w:rPr>
          <w:sz w:val="24"/>
          <w:szCs w:val="24"/>
        </w:rPr>
        <w:t xml:space="preserve"> </w:t>
      </w:r>
      <w:proofErr w:type="spellStart"/>
      <w:r w:rsidR="00616031" w:rsidRPr="00E55EF8">
        <w:rPr>
          <w:sz w:val="24"/>
          <w:szCs w:val="24"/>
        </w:rPr>
        <w:t>Dapaglifozin</w:t>
      </w:r>
      <w:proofErr w:type="spellEnd"/>
      <w:r w:rsidR="00616031" w:rsidRPr="00E55EF8">
        <w:rPr>
          <w:sz w:val="24"/>
          <w:szCs w:val="24"/>
        </w:rPr>
        <w:t xml:space="preserve"> </w:t>
      </w:r>
      <w:proofErr w:type="spellStart"/>
      <w:r w:rsidR="00616031" w:rsidRPr="00E55EF8">
        <w:rPr>
          <w:sz w:val="24"/>
          <w:szCs w:val="24"/>
        </w:rPr>
        <w:t>dengan</w:t>
      </w:r>
      <w:proofErr w:type="spellEnd"/>
      <w:r w:rsidR="00616031" w:rsidRPr="00E55EF8">
        <w:rPr>
          <w:sz w:val="24"/>
          <w:szCs w:val="24"/>
        </w:rPr>
        <w:t xml:space="preserve"> </w:t>
      </w:r>
      <w:proofErr w:type="spellStart"/>
      <w:r w:rsidR="00616031" w:rsidRPr="00E55EF8">
        <w:rPr>
          <w:sz w:val="24"/>
          <w:szCs w:val="24"/>
        </w:rPr>
        <w:t>saxagliptin</w:t>
      </w:r>
      <w:proofErr w:type="spellEnd"/>
      <w:r w:rsidR="00616031" w:rsidRPr="00E55EF8">
        <w:rPr>
          <w:sz w:val="24"/>
          <w:szCs w:val="24"/>
        </w:rPr>
        <w:t xml:space="preserve"> </w:t>
      </w:r>
      <w:proofErr w:type="spellStart"/>
      <w:r w:rsidR="00616031" w:rsidRPr="00E55EF8">
        <w:rPr>
          <w:sz w:val="24"/>
          <w:szCs w:val="24"/>
        </w:rPr>
        <w:t>menunjukan</w:t>
      </w:r>
      <w:proofErr w:type="spellEnd"/>
      <w:r w:rsidR="00616031" w:rsidRPr="00E55EF8">
        <w:rPr>
          <w:sz w:val="24"/>
          <w:szCs w:val="24"/>
        </w:rPr>
        <w:t xml:space="preserve"> </w:t>
      </w:r>
      <w:proofErr w:type="spellStart"/>
      <w:r w:rsidR="00616031" w:rsidRPr="00E55EF8">
        <w:rPr>
          <w:sz w:val="24"/>
          <w:szCs w:val="24"/>
        </w:rPr>
        <w:t>adanya</w:t>
      </w:r>
      <w:proofErr w:type="spellEnd"/>
      <w:r w:rsidR="00616031" w:rsidRPr="00E55EF8">
        <w:rPr>
          <w:sz w:val="24"/>
          <w:szCs w:val="24"/>
        </w:rPr>
        <w:t xml:space="preserve"> </w:t>
      </w:r>
      <w:proofErr w:type="spellStart"/>
      <w:r w:rsidR="00616031" w:rsidRPr="00E55EF8">
        <w:rPr>
          <w:sz w:val="24"/>
          <w:szCs w:val="24"/>
        </w:rPr>
        <w:t>penurunan</w:t>
      </w:r>
      <w:proofErr w:type="spellEnd"/>
      <w:r w:rsidR="00616031" w:rsidRPr="00E55EF8">
        <w:rPr>
          <w:sz w:val="24"/>
          <w:szCs w:val="24"/>
        </w:rPr>
        <w:t xml:space="preserve"> </w:t>
      </w:r>
      <w:proofErr w:type="spellStart"/>
      <w:r w:rsidR="00616031">
        <w:rPr>
          <w:sz w:val="24"/>
          <w:szCs w:val="24"/>
        </w:rPr>
        <w:t>kadar</w:t>
      </w:r>
      <w:proofErr w:type="spellEnd"/>
      <w:r w:rsidR="00616031">
        <w:rPr>
          <w:sz w:val="24"/>
          <w:szCs w:val="24"/>
        </w:rPr>
        <w:t xml:space="preserve"> gula </w:t>
      </w:r>
      <w:proofErr w:type="spellStart"/>
      <w:r w:rsidR="00616031">
        <w:rPr>
          <w:sz w:val="24"/>
          <w:szCs w:val="24"/>
        </w:rPr>
        <w:t>darah</w:t>
      </w:r>
      <w:proofErr w:type="spellEnd"/>
      <w:r w:rsidR="00616031">
        <w:rPr>
          <w:sz w:val="24"/>
          <w:szCs w:val="24"/>
        </w:rPr>
        <w:t xml:space="preserve"> </w:t>
      </w:r>
      <w:proofErr w:type="spellStart"/>
      <w:r w:rsidR="00616031">
        <w:rPr>
          <w:sz w:val="24"/>
          <w:szCs w:val="24"/>
        </w:rPr>
        <w:t>dengan</w:t>
      </w:r>
      <w:proofErr w:type="spellEnd"/>
      <w:r w:rsidR="00616031">
        <w:rPr>
          <w:sz w:val="24"/>
          <w:szCs w:val="24"/>
        </w:rPr>
        <w:t xml:space="preserve"> rata-rata </w:t>
      </w:r>
      <w:r w:rsidR="00616031" w:rsidRPr="00D8047F">
        <w:rPr>
          <w:sz w:val="24"/>
          <w:szCs w:val="24"/>
        </w:rPr>
        <w:t>132.40 ± 1.67</w:t>
      </w:r>
      <w:r w:rsidR="00616031">
        <w:rPr>
          <w:sz w:val="24"/>
          <w:szCs w:val="24"/>
        </w:rPr>
        <w:t>.</w:t>
      </w:r>
    </w:p>
    <w:p w14:paraId="42C2E33F" w14:textId="77777777" w:rsidR="00616031" w:rsidRDefault="00616031" w:rsidP="00616031">
      <w:pPr>
        <w:ind w:firstLine="450"/>
        <w:jc w:val="both"/>
        <w:rPr>
          <w:sz w:val="24"/>
          <w:szCs w:val="24"/>
        </w:rPr>
      </w:pPr>
      <w:proofErr w:type="spellStart"/>
      <w:r w:rsidRPr="00E55EF8">
        <w:rPr>
          <w:sz w:val="24"/>
          <w:szCs w:val="24"/>
        </w:rPr>
        <w:t>Berda</w:t>
      </w:r>
      <w:r>
        <w:rPr>
          <w:sz w:val="24"/>
          <w:szCs w:val="24"/>
        </w:rPr>
        <w:t>sarkan</w:t>
      </w:r>
      <w:proofErr w:type="spellEnd"/>
      <w:r>
        <w:rPr>
          <w:sz w:val="24"/>
          <w:szCs w:val="24"/>
        </w:rPr>
        <w:t xml:space="preserve"> </w:t>
      </w:r>
      <w:proofErr w:type="spellStart"/>
      <w:r>
        <w:rPr>
          <w:sz w:val="24"/>
          <w:szCs w:val="24"/>
        </w:rPr>
        <w:t>Tabel</w:t>
      </w:r>
      <w:proofErr w:type="spellEnd"/>
      <w:r>
        <w:rPr>
          <w:sz w:val="24"/>
          <w:szCs w:val="24"/>
        </w:rPr>
        <w:t xml:space="preserve"> 1</w:t>
      </w:r>
      <w:r w:rsidRPr="00E55EF8">
        <w:rPr>
          <w:sz w:val="24"/>
          <w:szCs w:val="24"/>
        </w:rPr>
        <w:t>,</w:t>
      </w:r>
      <w:r>
        <w:rPr>
          <w:sz w:val="24"/>
          <w:szCs w:val="24"/>
        </w:rPr>
        <w:t xml:space="preserve"> </w:t>
      </w:r>
      <w:proofErr w:type="spellStart"/>
      <w:r w:rsidRPr="00D8047F">
        <w:rPr>
          <w:sz w:val="24"/>
          <w:szCs w:val="24"/>
        </w:rPr>
        <w:t>menunjukkan</w:t>
      </w:r>
      <w:proofErr w:type="spellEnd"/>
      <w:r w:rsidRPr="00D8047F">
        <w:rPr>
          <w:sz w:val="24"/>
          <w:szCs w:val="24"/>
        </w:rPr>
        <w:t xml:space="preserve"> </w:t>
      </w:r>
      <w:proofErr w:type="spellStart"/>
      <w:r w:rsidRPr="00D8047F">
        <w:rPr>
          <w:sz w:val="24"/>
          <w:szCs w:val="24"/>
        </w:rPr>
        <w:t>nilai</w:t>
      </w:r>
      <w:proofErr w:type="spellEnd"/>
      <w:r w:rsidRPr="00D8047F">
        <w:rPr>
          <w:sz w:val="24"/>
          <w:szCs w:val="24"/>
        </w:rPr>
        <w:t xml:space="preserve"> rata-rata </w:t>
      </w:r>
      <w:proofErr w:type="spellStart"/>
      <w:r w:rsidRPr="00D8047F">
        <w:rPr>
          <w:sz w:val="24"/>
          <w:szCs w:val="24"/>
        </w:rPr>
        <w:t>kadar</w:t>
      </w:r>
      <w:proofErr w:type="spellEnd"/>
      <w:r w:rsidRPr="00D8047F">
        <w:rPr>
          <w:sz w:val="24"/>
          <w:szCs w:val="24"/>
        </w:rPr>
        <w:t xml:space="preserve"> </w:t>
      </w:r>
      <w:proofErr w:type="spellStart"/>
      <w:r w:rsidRPr="00D8047F">
        <w:rPr>
          <w:sz w:val="24"/>
          <w:szCs w:val="24"/>
        </w:rPr>
        <w:t>glukosa</w:t>
      </w:r>
      <w:proofErr w:type="spellEnd"/>
      <w:r w:rsidRPr="00D8047F">
        <w:rPr>
          <w:sz w:val="24"/>
          <w:szCs w:val="24"/>
        </w:rPr>
        <w:t xml:space="preserve"> </w:t>
      </w:r>
      <w:proofErr w:type="spellStart"/>
      <w:r w:rsidRPr="00D8047F">
        <w:rPr>
          <w:sz w:val="24"/>
          <w:szCs w:val="24"/>
        </w:rPr>
        <w:t>darah</w:t>
      </w:r>
      <w:proofErr w:type="spellEnd"/>
      <w:r w:rsidRPr="00D8047F">
        <w:rPr>
          <w:sz w:val="24"/>
          <w:szCs w:val="24"/>
        </w:rPr>
        <w:t xml:space="preserve"> masing-masing </w:t>
      </w:r>
      <w:proofErr w:type="spellStart"/>
      <w:r w:rsidRPr="00D8047F">
        <w:rPr>
          <w:sz w:val="24"/>
          <w:szCs w:val="24"/>
        </w:rPr>
        <w:t>kelompok</w:t>
      </w:r>
      <w:proofErr w:type="spellEnd"/>
      <w:r w:rsidRPr="00D8047F">
        <w:rPr>
          <w:sz w:val="24"/>
          <w:szCs w:val="24"/>
        </w:rPr>
        <w:t xml:space="preserve"> uji. Pada </w:t>
      </w:r>
      <w:proofErr w:type="spellStart"/>
      <w:r w:rsidRPr="00D8047F">
        <w:rPr>
          <w:sz w:val="24"/>
          <w:szCs w:val="24"/>
        </w:rPr>
        <w:t>pemberian</w:t>
      </w:r>
      <w:proofErr w:type="spellEnd"/>
      <w:r w:rsidRPr="00D8047F">
        <w:rPr>
          <w:sz w:val="24"/>
          <w:szCs w:val="24"/>
        </w:rPr>
        <w:t xml:space="preserve"> dapagliflozin </w:t>
      </w:r>
      <w:proofErr w:type="spellStart"/>
      <w:r w:rsidRPr="00D8047F">
        <w:rPr>
          <w:sz w:val="24"/>
          <w:szCs w:val="24"/>
        </w:rPr>
        <w:t>tunggal</w:t>
      </w:r>
      <w:proofErr w:type="spellEnd"/>
      <w:r w:rsidRPr="00D8047F">
        <w:rPr>
          <w:sz w:val="24"/>
          <w:szCs w:val="24"/>
        </w:rPr>
        <w:t xml:space="preserve"> </w:t>
      </w:r>
      <w:proofErr w:type="spellStart"/>
      <w:r w:rsidRPr="00D8047F">
        <w:rPr>
          <w:sz w:val="24"/>
          <w:szCs w:val="24"/>
        </w:rPr>
        <w:t>menunjukan</w:t>
      </w:r>
      <w:proofErr w:type="spellEnd"/>
      <w:r w:rsidRPr="00D8047F">
        <w:rPr>
          <w:sz w:val="24"/>
          <w:szCs w:val="24"/>
        </w:rPr>
        <w:t xml:space="preserve"> </w:t>
      </w:r>
      <w:proofErr w:type="spellStart"/>
      <w:r w:rsidRPr="00D8047F">
        <w:rPr>
          <w:sz w:val="24"/>
          <w:szCs w:val="24"/>
        </w:rPr>
        <w:t>adanya</w:t>
      </w:r>
      <w:proofErr w:type="spellEnd"/>
      <w:r w:rsidRPr="00D8047F">
        <w:rPr>
          <w:sz w:val="24"/>
          <w:szCs w:val="24"/>
        </w:rPr>
        <w:t xml:space="preserve"> </w:t>
      </w:r>
      <w:proofErr w:type="spellStart"/>
      <w:r w:rsidRPr="00D8047F">
        <w:rPr>
          <w:sz w:val="24"/>
          <w:szCs w:val="24"/>
        </w:rPr>
        <w:t>penuruan</w:t>
      </w:r>
      <w:proofErr w:type="spellEnd"/>
      <w:r w:rsidRPr="00D8047F">
        <w:rPr>
          <w:sz w:val="24"/>
          <w:szCs w:val="24"/>
        </w:rPr>
        <w:t xml:space="preserve"> </w:t>
      </w:r>
      <w:proofErr w:type="spellStart"/>
      <w:r w:rsidRPr="00D8047F">
        <w:rPr>
          <w:sz w:val="24"/>
          <w:szCs w:val="24"/>
        </w:rPr>
        <w:t>kadar</w:t>
      </w:r>
      <w:proofErr w:type="spellEnd"/>
      <w:r w:rsidRPr="00D8047F">
        <w:rPr>
          <w:sz w:val="24"/>
          <w:szCs w:val="24"/>
        </w:rPr>
        <w:t xml:space="preserve"> gula </w:t>
      </w:r>
      <w:proofErr w:type="spellStart"/>
      <w:r w:rsidRPr="00D8047F">
        <w:rPr>
          <w:sz w:val="24"/>
          <w:szCs w:val="24"/>
        </w:rPr>
        <w:t>darah</w:t>
      </w:r>
      <w:proofErr w:type="spellEnd"/>
      <w:r w:rsidRPr="00D8047F">
        <w:rPr>
          <w:sz w:val="24"/>
          <w:szCs w:val="24"/>
        </w:rPr>
        <w:t xml:space="preserve"> </w:t>
      </w:r>
      <w:proofErr w:type="spellStart"/>
      <w:r w:rsidRPr="00D8047F">
        <w:rPr>
          <w:sz w:val="24"/>
          <w:szCs w:val="24"/>
        </w:rPr>
        <w:t>dengan</w:t>
      </w:r>
      <w:proofErr w:type="spellEnd"/>
      <w:r w:rsidRPr="00D8047F">
        <w:rPr>
          <w:sz w:val="24"/>
          <w:szCs w:val="24"/>
        </w:rPr>
        <w:t xml:space="preserve"> rata-rata 147.48 ± 1.94 mg/dl, </w:t>
      </w:r>
      <w:proofErr w:type="spellStart"/>
      <w:r w:rsidRPr="00D8047F">
        <w:rPr>
          <w:sz w:val="24"/>
          <w:szCs w:val="24"/>
        </w:rPr>
        <w:t>pemberian</w:t>
      </w:r>
      <w:proofErr w:type="spellEnd"/>
      <w:r w:rsidRPr="00D8047F">
        <w:rPr>
          <w:sz w:val="24"/>
          <w:szCs w:val="24"/>
        </w:rPr>
        <w:t xml:space="preserve"> </w:t>
      </w:r>
      <w:proofErr w:type="spellStart"/>
      <w:r w:rsidRPr="00D8047F">
        <w:rPr>
          <w:sz w:val="24"/>
          <w:szCs w:val="24"/>
        </w:rPr>
        <w:t>kombinasi</w:t>
      </w:r>
      <w:proofErr w:type="spellEnd"/>
      <w:r w:rsidRPr="00D8047F">
        <w:rPr>
          <w:sz w:val="24"/>
          <w:szCs w:val="24"/>
        </w:rPr>
        <w:t xml:space="preserve"> dapagliflozin dan metformin </w:t>
      </w:r>
      <w:proofErr w:type="spellStart"/>
      <w:r w:rsidRPr="00D8047F">
        <w:rPr>
          <w:sz w:val="24"/>
          <w:szCs w:val="24"/>
        </w:rPr>
        <w:t>menunjukan</w:t>
      </w:r>
      <w:proofErr w:type="spellEnd"/>
      <w:r w:rsidRPr="00D8047F">
        <w:rPr>
          <w:sz w:val="24"/>
          <w:szCs w:val="24"/>
        </w:rPr>
        <w:t xml:space="preserve"> </w:t>
      </w:r>
      <w:proofErr w:type="spellStart"/>
      <w:r w:rsidRPr="00D8047F">
        <w:rPr>
          <w:sz w:val="24"/>
          <w:szCs w:val="24"/>
        </w:rPr>
        <w:t>adanya</w:t>
      </w:r>
      <w:proofErr w:type="spellEnd"/>
      <w:r w:rsidRPr="00D8047F">
        <w:rPr>
          <w:sz w:val="24"/>
          <w:szCs w:val="24"/>
        </w:rPr>
        <w:t xml:space="preserve"> </w:t>
      </w:r>
      <w:proofErr w:type="spellStart"/>
      <w:r w:rsidRPr="00D8047F">
        <w:rPr>
          <w:sz w:val="24"/>
          <w:szCs w:val="24"/>
        </w:rPr>
        <w:t>penuruan</w:t>
      </w:r>
      <w:proofErr w:type="spellEnd"/>
      <w:r w:rsidRPr="00D8047F">
        <w:rPr>
          <w:sz w:val="24"/>
          <w:szCs w:val="24"/>
        </w:rPr>
        <w:t xml:space="preserve"> </w:t>
      </w:r>
      <w:proofErr w:type="spellStart"/>
      <w:r w:rsidRPr="00D8047F">
        <w:rPr>
          <w:sz w:val="24"/>
          <w:szCs w:val="24"/>
        </w:rPr>
        <w:t>kadar</w:t>
      </w:r>
      <w:proofErr w:type="spellEnd"/>
      <w:r w:rsidRPr="00D8047F">
        <w:rPr>
          <w:sz w:val="24"/>
          <w:szCs w:val="24"/>
        </w:rPr>
        <w:t xml:space="preserve"> gula </w:t>
      </w:r>
      <w:proofErr w:type="spellStart"/>
      <w:r w:rsidRPr="00D8047F">
        <w:rPr>
          <w:sz w:val="24"/>
          <w:szCs w:val="24"/>
        </w:rPr>
        <w:t>darah</w:t>
      </w:r>
      <w:proofErr w:type="spellEnd"/>
      <w:r w:rsidRPr="00D8047F">
        <w:rPr>
          <w:sz w:val="24"/>
          <w:szCs w:val="24"/>
        </w:rPr>
        <w:t xml:space="preserve"> </w:t>
      </w:r>
      <w:proofErr w:type="spellStart"/>
      <w:r w:rsidRPr="00D8047F">
        <w:rPr>
          <w:sz w:val="24"/>
          <w:szCs w:val="24"/>
        </w:rPr>
        <w:t>dengan</w:t>
      </w:r>
      <w:proofErr w:type="spellEnd"/>
      <w:r w:rsidRPr="00D8047F">
        <w:rPr>
          <w:sz w:val="24"/>
          <w:szCs w:val="24"/>
        </w:rPr>
        <w:t xml:space="preserve"> rata-rata 132.40 ± 1.67 mg/dl, </w:t>
      </w:r>
      <w:proofErr w:type="spellStart"/>
      <w:r w:rsidRPr="00D8047F">
        <w:rPr>
          <w:sz w:val="24"/>
          <w:szCs w:val="24"/>
        </w:rPr>
        <w:t>pemberian</w:t>
      </w:r>
      <w:proofErr w:type="spellEnd"/>
      <w:r w:rsidRPr="00D8047F">
        <w:rPr>
          <w:sz w:val="24"/>
          <w:szCs w:val="24"/>
        </w:rPr>
        <w:t xml:space="preserve"> </w:t>
      </w:r>
      <w:proofErr w:type="spellStart"/>
      <w:r w:rsidRPr="00D8047F">
        <w:rPr>
          <w:sz w:val="24"/>
          <w:szCs w:val="24"/>
        </w:rPr>
        <w:t>kombinasi</w:t>
      </w:r>
      <w:proofErr w:type="spellEnd"/>
      <w:r w:rsidRPr="00D8047F">
        <w:rPr>
          <w:sz w:val="24"/>
          <w:szCs w:val="24"/>
        </w:rPr>
        <w:t xml:space="preserve"> dapagliflozin dan </w:t>
      </w:r>
      <w:proofErr w:type="spellStart"/>
      <w:r w:rsidRPr="00D8047F">
        <w:rPr>
          <w:sz w:val="24"/>
          <w:szCs w:val="24"/>
        </w:rPr>
        <w:t>saxagliptin</w:t>
      </w:r>
      <w:proofErr w:type="spellEnd"/>
      <w:r w:rsidRPr="00D8047F">
        <w:rPr>
          <w:sz w:val="24"/>
          <w:szCs w:val="24"/>
        </w:rPr>
        <w:t xml:space="preserve"> </w:t>
      </w:r>
      <w:proofErr w:type="spellStart"/>
      <w:r w:rsidRPr="00D8047F">
        <w:rPr>
          <w:sz w:val="24"/>
          <w:szCs w:val="24"/>
        </w:rPr>
        <w:t>menunjukan</w:t>
      </w:r>
      <w:proofErr w:type="spellEnd"/>
      <w:r w:rsidRPr="00D8047F">
        <w:rPr>
          <w:sz w:val="24"/>
          <w:szCs w:val="24"/>
        </w:rPr>
        <w:t xml:space="preserve"> </w:t>
      </w:r>
      <w:proofErr w:type="spellStart"/>
      <w:r w:rsidRPr="00D8047F">
        <w:rPr>
          <w:sz w:val="24"/>
          <w:szCs w:val="24"/>
        </w:rPr>
        <w:t>adanya</w:t>
      </w:r>
      <w:proofErr w:type="spellEnd"/>
      <w:r w:rsidRPr="00D8047F">
        <w:rPr>
          <w:sz w:val="24"/>
          <w:szCs w:val="24"/>
        </w:rPr>
        <w:t xml:space="preserve"> </w:t>
      </w:r>
      <w:proofErr w:type="spellStart"/>
      <w:r w:rsidRPr="00D8047F">
        <w:rPr>
          <w:sz w:val="24"/>
          <w:szCs w:val="24"/>
        </w:rPr>
        <w:t>penuruan</w:t>
      </w:r>
      <w:proofErr w:type="spellEnd"/>
      <w:r w:rsidRPr="00D8047F">
        <w:rPr>
          <w:sz w:val="24"/>
          <w:szCs w:val="24"/>
        </w:rPr>
        <w:t xml:space="preserve"> </w:t>
      </w:r>
      <w:proofErr w:type="spellStart"/>
      <w:r w:rsidRPr="00D8047F">
        <w:rPr>
          <w:sz w:val="24"/>
          <w:szCs w:val="24"/>
        </w:rPr>
        <w:t>kadar</w:t>
      </w:r>
      <w:proofErr w:type="spellEnd"/>
      <w:r w:rsidRPr="00D8047F">
        <w:rPr>
          <w:sz w:val="24"/>
          <w:szCs w:val="24"/>
        </w:rPr>
        <w:t xml:space="preserve"> gula </w:t>
      </w:r>
      <w:proofErr w:type="spellStart"/>
      <w:r w:rsidRPr="00D8047F">
        <w:rPr>
          <w:sz w:val="24"/>
          <w:szCs w:val="24"/>
        </w:rPr>
        <w:t>darah</w:t>
      </w:r>
      <w:proofErr w:type="spellEnd"/>
      <w:r w:rsidRPr="00D8047F">
        <w:rPr>
          <w:sz w:val="24"/>
          <w:szCs w:val="24"/>
        </w:rPr>
        <w:t xml:space="preserve"> </w:t>
      </w:r>
      <w:proofErr w:type="spellStart"/>
      <w:r w:rsidRPr="00D8047F">
        <w:rPr>
          <w:sz w:val="24"/>
          <w:szCs w:val="24"/>
        </w:rPr>
        <w:t>dengan</w:t>
      </w:r>
      <w:proofErr w:type="spellEnd"/>
      <w:r w:rsidRPr="00D8047F">
        <w:rPr>
          <w:sz w:val="24"/>
          <w:szCs w:val="24"/>
        </w:rPr>
        <w:t xml:space="preserve"> rata-rata 138.40 ± 2.24 mg/dl, </w:t>
      </w:r>
      <w:proofErr w:type="spellStart"/>
      <w:r w:rsidRPr="00D8047F">
        <w:rPr>
          <w:sz w:val="24"/>
          <w:szCs w:val="24"/>
        </w:rPr>
        <w:t>pemberian</w:t>
      </w:r>
      <w:proofErr w:type="spellEnd"/>
      <w:r w:rsidRPr="00D8047F">
        <w:rPr>
          <w:sz w:val="24"/>
          <w:szCs w:val="24"/>
        </w:rPr>
        <w:t xml:space="preserve"> </w:t>
      </w:r>
      <w:proofErr w:type="spellStart"/>
      <w:r w:rsidRPr="00D8047F">
        <w:rPr>
          <w:sz w:val="24"/>
          <w:szCs w:val="24"/>
        </w:rPr>
        <w:t>kombinasi</w:t>
      </w:r>
      <w:proofErr w:type="spellEnd"/>
      <w:r w:rsidRPr="00D8047F">
        <w:rPr>
          <w:sz w:val="24"/>
          <w:szCs w:val="24"/>
        </w:rPr>
        <w:t xml:space="preserve"> dapagliflozin dan </w:t>
      </w:r>
      <w:proofErr w:type="spellStart"/>
      <w:r w:rsidRPr="00D8047F">
        <w:rPr>
          <w:sz w:val="24"/>
          <w:szCs w:val="24"/>
        </w:rPr>
        <w:t>glimepirid</w:t>
      </w:r>
      <w:proofErr w:type="spellEnd"/>
      <w:r w:rsidRPr="00D8047F">
        <w:rPr>
          <w:sz w:val="24"/>
          <w:szCs w:val="24"/>
        </w:rPr>
        <w:t xml:space="preserve">  </w:t>
      </w:r>
      <w:proofErr w:type="spellStart"/>
      <w:r w:rsidRPr="00D8047F">
        <w:rPr>
          <w:sz w:val="24"/>
          <w:szCs w:val="24"/>
        </w:rPr>
        <w:t>menunjukan</w:t>
      </w:r>
      <w:proofErr w:type="spellEnd"/>
      <w:r w:rsidRPr="00D8047F">
        <w:rPr>
          <w:sz w:val="24"/>
          <w:szCs w:val="24"/>
        </w:rPr>
        <w:t xml:space="preserve"> </w:t>
      </w:r>
      <w:proofErr w:type="spellStart"/>
      <w:r w:rsidRPr="00D8047F">
        <w:rPr>
          <w:sz w:val="24"/>
          <w:szCs w:val="24"/>
        </w:rPr>
        <w:t>adanya</w:t>
      </w:r>
      <w:proofErr w:type="spellEnd"/>
      <w:r w:rsidRPr="00D8047F">
        <w:rPr>
          <w:sz w:val="24"/>
          <w:szCs w:val="24"/>
        </w:rPr>
        <w:t xml:space="preserve"> </w:t>
      </w:r>
      <w:proofErr w:type="spellStart"/>
      <w:r w:rsidRPr="00D8047F">
        <w:rPr>
          <w:sz w:val="24"/>
          <w:szCs w:val="24"/>
        </w:rPr>
        <w:t>penuruan</w:t>
      </w:r>
      <w:proofErr w:type="spellEnd"/>
      <w:r w:rsidRPr="00D8047F">
        <w:rPr>
          <w:sz w:val="24"/>
          <w:szCs w:val="24"/>
        </w:rPr>
        <w:t xml:space="preserve"> </w:t>
      </w:r>
      <w:proofErr w:type="spellStart"/>
      <w:r w:rsidRPr="00D8047F">
        <w:rPr>
          <w:sz w:val="24"/>
          <w:szCs w:val="24"/>
        </w:rPr>
        <w:t>kadar</w:t>
      </w:r>
      <w:proofErr w:type="spellEnd"/>
      <w:r w:rsidRPr="00D8047F">
        <w:rPr>
          <w:sz w:val="24"/>
          <w:szCs w:val="24"/>
        </w:rPr>
        <w:t xml:space="preserve"> gula </w:t>
      </w:r>
      <w:proofErr w:type="spellStart"/>
      <w:r w:rsidRPr="00D8047F">
        <w:rPr>
          <w:sz w:val="24"/>
          <w:szCs w:val="24"/>
        </w:rPr>
        <w:t>darah</w:t>
      </w:r>
      <w:proofErr w:type="spellEnd"/>
      <w:r w:rsidRPr="00D8047F">
        <w:rPr>
          <w:sz w:val="24"/>
          <w:szCs w:val="24"/>
        </w:rPr>
        <w:t xml:space="preserve"> </w:t>
      </w:r>
      <w:proofErr w:type="spellStart"/>
      <w:r w:rsidRPr="00D8047F">
        <w:rPr>
          <w:sz w:val="24"/>
          <w:szCs w:val="24"/>
        </w:rPr>
        <w:t>dengan</w:t>
      </w:r>
      <w:proofErr w:type="spellEnd"/>
      <w:r w:rsidRPr="00D8047F">
        <w:rPr>
          <w:sz w:val="24"/>
          <w:szCs w:val="24"/>
        </w:rPr>
        <w:t xml:space="preserve"> rata-rata 145.08 ± 4.66 mg/dl, </w:t>
      </w:r>
      <w:proofErr w:type="spellStart"/>
      <w:r w:rsidRPr="00D8047F">
        <w:rPr>
          <w:sz w:val="24"/>
          <w:szCs w:val="24"/>
        </w:rPr>
        <w:t>pemberian</w:t>
      </w:r>
      <w:proofErr w:type="spellEnd"/>
      <w:r w:rsidRPr="00D8047F">
        <w:rPr>
          <w:sz w:val="24"/>
          <w:szCs w:val="24"/>
        </w:rPr>
        <w:t xml:space="preserve"> </w:t>
      </w:r>
      <w:proofErr w:type="spellStart"/>
      <w:r w:rsidRPr="00D8047F">
        <w:rPr>
          <w:sz w:val="24"/>
          <w:szCs w:val="24"/>
        </w:rPr>
        <w:t>kombinasi</w:t>
      </w:r>
      <w:proofErr w:type="spellEnd"/>
      <w:r w:rsidRPr="00D8047F">
        <w:rPr>
          <w:sz w:val="24"/>
          <w:szCs w:val="24"/>
        </w:rPr>
        <w:t xml:space="preserve"> dapagliflozin, metformin dan </w:t>
      </w:r>
      <w:proofErr w:type="spellStart"/>
      <w:r w:rsidRPr="00D8047F">
        <w:rPr>
          <w:sz w:val="24"/>
          <w:szCs w:val="24"/>
        </w:rPr>
        <w:t>saxagliptin</w:t>
      </w:r>
      <w:proofErr w:type="spellEnd"/>
      <w:r w:rsidRPr="00D8047F">
        <w:rPr>
          <w:sz w:val="24"/>
          <w:szCs w:val="24"/>
        </w:rPr>
        <w:t xml:space="preserve"> </w:t>
      </w:r>
      <w:proofErr w:type="spellStart"/>
      <w:r w:rsidRPr="00D8047F">
        <w:rPr>
          <w:sz w:val="24"/>
          <w:szCs w:val="24"/>
        </w:rPr>
        <w:t>menunjukan</w:t>
      </w:r>
      <w:proofErr w:type="spellEnd"/>
      <w:r w:rsidRPr="00D8047F">
        <w:rPr>
          <w:sz w:val="24"/>
          <w:szCs w:val="24"/>
        </w:rPr>
        <w:t xml:space="preserve"> </w:t>
      </w:r>
      <w:proofErr w:type="spellStart"/>
      <w:r w:rsidRPr="00D8047F">
        <w:rPr>
          <w:sz w:val="24"/>
          <w:szCs w:val="24"/>
        </w:rPr>
        <w:t>adanya</w:t>
      </w:r>
      <w:proofErr w:type="spellEnd"/>
      <w:r w:rsidRPr="00D8047F">
        <w:rPr>
          <w:sz w:val="24"/>
          <w:szCs w:val="24"/>
        </w:rPr>
        <w:t xml:space="preserve"> </w:t>
      </w:r>
      <w:proofErr w:type="spellStart"/>
      <w:r w:rsidRPr="00D8047F">
        <w:rPr>
          <w:sz w:val="24"/>
          <w:szCs w:val="24"/>
        </w:rPr>
        <w:t>penuruan</w:t>
      </w:r>
      <w:proofErr w:type="spellEnd"/>
      <w:r w:rsidRPr="00D8047F">
        <w:rPr>
          <w:sz w:val="24"/>
          <w:szCs w:val="24"/>
        </w:rPr>
        <w:t xml:space="preserve"> </w:t>
      </w:r>
      <w:proofErr w:type="spellStart"/>
      <w:r w:rsidRPr="00D8047F">
        <w:rPr>
          <w:sz w:val="24"/>
          <w:szCs w:val="24"/>
        </w:rPr>
        <w:t>kadar</w:t>
      </w:r>
      <w:proofErr w:type="spellEnd"/>
      <w:r w:rsidRPr="00D8047F">
        <w:rPr>
          <w:sz w:val="24"/>
          <w:szCs w:val="24"/>
        </w:rPr>
        <w:t xml:space="preserve"> gula </w:t>
      </w:r>
      <w:proofErr w:type="spellStart"/>
      <w:r w:rsidRPr="00D8047F">
        <w:rPr>
          <w:sz w:val="24"/>
          <w:szCs w:val="24"/>
        </w:rPr>
        <w:t>darah</w:t>
      </w:r>
      <w:proofErr w:type="spellEnd"/>
      <w:r w:rsidRPr="00D8047F">
        <w:rPr>
          <w:sz w:val="24"/>
          <w:szCs w:val="24"/>
        </w:rPr>
        <w:t xml:space="preserve"> </w:t>
      </w:r>
      <w:proofErr w:type="spellStart"/>
      <w:r w:rsidRPr="00D8047F">
        <w:rPr>
          <w:sz w:val="24"/>
          <w:szCs w:val="24"/>
        </w:rPr>
        <w:t>dengan</w:t>
      </w:r>
      <w:proofErr w:type="spellEnd"/>
      <w:r w:rsidRPr="00D8047F">
        <w:rPr>
          <w:sz w:val="24"/>
          <w:szCs w:val="24"/>
        </w:rPr>
        <w:t xml:space="preserve"> rata-rata 127.40 ± 30 mg/dl.</w:t>
      </w:r>
      <w:r>
        <w:rPr>
          <w:sz w:val="24"/>
          <w:szCs w:val="24"/>
        </w:rPr>
        <w:t xml:space="preserve"> </w:t>
      </w:r>
      <w:proofErr w:type="spellStart"/>
      <w:r w:rsidRPr="00D8047F">
        <w:rPr>
          <w:sz w:val="24"/>
          <w:szCs w:val="24"/>
        </w:rPr>
        <w:t>Dilihat</w:t>
      </w:r>
      <w:proofErr w:type="spellEnd"/>
      <w:r w:rsidRPr="00D8047F">
        <w:rPr>
          <w:sz w:val="24"/>
          <w:szCs w:val="24"/>
        </w:rPr>
        <w:t xml:space="preserve"> </w:t>
      </w:r>
      <w:proofErr w:type="spellStart"/>
      <w:r w:rsidRPr="00D8047F">
        <w:rPr>
          <w:sz w:val="24"/>
          <w:szCs w:val="24"/>
        </w:rPr>
        <w:t>dari</w:t>
      </w:r>
      <w:proofErr w:type="spellEnd"/>
      <w:r w:rsidRPr="00D8047F">
        <w:rPr>
          <w:sz w:val="24"/>
          <w:szCs w:val="24"/>
        </w:rPr>
        <w:t xml:space="preserve"> </w:t>
      </w:r>
      <w:proofErr w:type="spellStart"/>
      <w:r w:rsidRPr="00D8047F">
        <w:rPr>
          <w:sz w:val="24"/>
          <w:szCs w:val="24"/>
        </w:rPr>
        <w:t>nilai</w:t>
      </w:r>
      <w:proofErr w:type="spellEnd"/>
      <w:r w:rsidRPr="00D8047F">
        <w:rPr>
          <w:sz w:val="24"/>
          <w:szCs w:val="24"/>
        </w:rPr>
        <w:t xml:space="preserve"> rata-rata </w:t>
      </w:r>
      <w:proofErr w:type="spellStart"/>
      <w:r w:rsidRPr="00D8047F">
        <w:rPr>
          <w:sz w:val="24"/>
          <w:szCs w:val="24"/>
        </w:rPr>
        <w:t>kadar</w:t>
      </w:r>
      <w:proofErr w:type="spellEnd"/>
      <w:r w:rsidRPr="00D8047F">
        <w:rPr>
          <w:sz w:val="24"/>
          <w:szCs w:val="24"/>
        </w:rPr>
        <w:t xml:space="preserve"> </w:t>
      </w:r>
      <w:proofErr w:type="spellStart"/>
      <w:r w:rsidRPr="00D8047F">
        <w:rPr>
          <w:sz w:val="24"/>
          <w:szCs w:val="24"/>
        </w:rPr>
        <w:t>glukosa</w:t>
      </w:r>
      <w:proofErr w:type="spellEnd"/>
      <w:r w:rsidRPr="00D8047F">
        <w:rPr>
          <w:sz w:val="24"/>
          <w:szCs w:val="24"/>
        </w:rPr>
        <w:t xml:space="preserve"> </w:t>
      </w:r>
      <w:proofErr w:type="spellStart"/>
      <w:r w:rsidRPr="00D8047F">
        <w:rPr>
          <w:sz w:val="24"/>
          <w:szCs w:val="24"/>
        </w:rPr>
        <w:t>darah</w:t>
      </w:r>
      <w:proofErr w:type="spellEnd"/>
      <w:r w:rsidRPr="00D8047F">
        <w:rPr>
          <w:sz w:val="24"/>
          <w:szCs w:val="24"/>
        </w:rPr>
        <w:t xml:space="preserve"> </w:t>
      </w:r>
      <w:proofErr w:type="spellStart"/>
      <w:r w:rsidRPr="00D8047F">
        <w:rPr>
          <w:sz w:val="24"/>
          <w:szCs w:val="24"/>
        </w:rPr>
        <w:t>dari</w:t>
      </w:r>
      <w:proofErr w:type="spellEnd"/>
      <w:r w:rsidRPr="00D8047F">
        <w:rPr>
          <w:sz w:val="24"/>
          <w:szCs w:val="24"/>
        </w:rPr>
        <w:t xml:space="preserve"> </w:t>
      </w:r>
      <w:proofErr w:type="spellStart"/>
      <w:r w:rsidRPr="00D8047F">
        <w:rPr>
          <w:sz w:val="24"/>
          <w:szCs w:val="24"/>
        </w:rPr>
        <w:t>kelompok</w:t>
      </w:r>
      <w:proofErr w:type="spellEnd"/>
      <w:r w:rsidRPr="00D8047F">
        <w:rPr>
          <w:sz w:val="24"/>
          <w:szCs w:val="24"/>
        </w:rPr>
        <w:t xml:space="preserve"> uji </w:t>
      </w:r>
      <w:proofErr w:type="spellStart"/>
      <w:r w:rsidRPr="00D8047F">
        <w:rPr>
          <w:sz w:val="24"/>
          <w:szCs w:val="24"/>
        </w:rPr>
        <w:t>menunjukan</w:t>
      </w:r>
      <w:proofErr w:type="spellEnd"/>
      <w:r w:rsidRPr="00D8047F">
        <w:rPr>
          <w:sz w:val="24"/>
          <w:szCs w:val="24"/>
        </w:rPr>
        <w:t xml:space="preserve"> </w:t>
      </w:r>
      <w:proofErr w:type="spellStart"/>
      <w:r w:rsidRPr="00D8047F">
        <w:rPr>
          <w:sz w:val="24"/>
          <w:szCs w:val="24"/>
        </w:rPr>
        <w:t>kelompok</w:t>
      </w:r>
      <w:proofErr w:type="spellEnd"/>
      <w:r w:rsidRPr="00D8047F">
        <w:rPr>
          <w:sz w:val="24"/>
          <w:szCs w:val="24"/>
        </w:rPr>
        <w:t xml:space="preserve"> </w:t>
      </w:r>
      <w:proofErr w:type="spellStart"/>
      <w:r w:rsidRPr="00D8047F">
        <w:rPr>
          <w:sz w:val="24"/>
          <w:szCs w:val="24"/>
        </w:rPr>
        <w:t>penurunan</w:t>
      </w:r>
      <w:proofErr w:type="spellEnd"/>
      <w:r w:rsidRPr="00D8047F">
        <w:rPr>
          <w:sz w:val="24"/>
          <w:szCs w:val="24"/>
        </w:rPr>
        <w:t xml:space="preserve"> </w:t>
      </w:r>
      <w:proofErr w:type="spellStart"/>
      <w:r w:rsidRPr="00D8047F">
        <w:rPr>
          <w:sz w:val="24"/>
          <w:szCs w:val="24"/>
        </w:rPr>
        <w:t>kadar</w:t>
      </w:r>
      <w:proofErr w:type="spellEnd"/>
      <w:r w:rsidRPr="00D8047F">
        <w:rPr>
          <w:sz w:val="24"/>
          <w:szCs w:val="24"/>
        </w:rPr>
        <w:t xml:space="preserve"> </w:t>
      </w:r>
      <w:proofErr w:type="spellStart"/>
      <w:r w:rsidRPr="00D8047F">
        <w:rPr>
          <w:sz w:val="24"/>
          <w:szCs w:val="24"/>
        </w:rPr>
        <w:t>glukosa</w:t>
      </w:r>
      <w:proofErr w:type="spellEnd"/>
      <w:r w:rsidRPr="00D8047F">
        <w:rPr>
          <w:sz w:val="24"/>
          <w:szCs w:val="24"/>
        </w:rPr>
        <w:t xml:space="preserve"> </w:t>
      </w:r>
      <w:proofErr w:type="spellStart"/>
      <w:r w:rsidRPr="00D8047F">
        <w:rPr>
          <w:sz w:val="24"/>
          <w:szCs w:val="24"/>
        </w:rPr>
        <w:t>darah</w:t>
      </w:r>
      <w:proofErr w:type="spellEnd"/>
      <w:r w:rsidRPr="00D8047F">
        <w:rPr>
          <w:sz w:val="24"/>
          <w:szCs w:val="24"/>
        </w:rPr>
        <w:t xml:space="preserve"> yang paling </w:t>
      </w:r>
      <w:proofErr w:type="spellStart"/>
      <w:r w:rsidRPr="00D8047F">
        <w:rPr>
          <w:sz w:val="24"/>
          <w:szCs w:val="24"/>
        </w:rPr>
        <w:t>efektif</w:t>
      </w:r>
      <w:proofErr w:type="spellEnd"/>
      <w:r w:rsidRPr="00D8047F">
        <w:rPr>
          <w:sz w:val="24"/>
          <w:szCs w:val="24"/>
        </w:rPr>
        <w:t xml:space="preserve"> </w:t>
      </w:r>
      <w:proofErr w:type="spellStart"/>
      <w:r w:rsidRPr="00D8047F">
        <w:rPr>
          <w:sz w:val="24"/>
          <w:szCs w:val="24"/>
        </w:rPr>
        <w:t>secara</w:t>
      </w:r>
      <w:proofErr w:type="spellEnd"/>
      <w:r w:rsidRPr="00D8047F">
        <w:rPr>
          <w:sz w:val="24"/>
          <w:szCs w:val="24"/>
        </w:rPr>
        <w:t xml:space="preserve"> </w:t>
      </w:r>
      <w:proofErr w:type="spellStart"/>
      <w:r w:rsidRPr="00D8047F">
        <w:rPr>
          <w:sz w:val="24"/>
          <w:szCs w:val="24"/>
        </w:rPr>
        <w:t>berututan</w:t>
      </w:r>
      <w:proofErr w:type="spellEnd"/>
      <w:r w:rsidRPr="00D8047F">
        <w:rPr>
          <w:sz w:val="24"/>
          <w:szCs w:val="24"/>
        </w:rPr>
        <w:t xml:space="preserve"> </w:t>
      </w:r>
      <w:proofErr w:type="spellStart"/>
      <w:r w:rsidRPr="00D8047F">
        <w:rPr>
          <w:sz w:val="24"/>
          <w:szCs w:val="24"/>
        </w:rPr>
        <w:t>adalah</w:t>
      </w:r>
      <w:proofErr w:type="spellEnd"/>
      <w:r w:rsidRPr="00D8047F">
        <w:rPr>
          <w:sz w:val="24"/>
          <w:szCs w:val="24"/>
        </w:rPr>
        <w:t xml:space="preserve"> Dapagliflozin + Metformin + </w:t>
      </w:r>
      <w:proofErr w:type="spellStart"/>
      <w:r w:rsidRPr="00D8047F">
        <w:rPr>
          <w:sz w:val="24"/>
          <w:szCs w:val="24"/>
        </w:rPr>
        <w:t>Saxagliptin</w:t>
      </w:r>
      <w:proofErr w:type="spellEnd"/>
      <w:r w:rsidRPr="00D8047F">
        <w:rPr>
          <w:sz w:val="24"/>
          <w:szCs w:val="24"/>
        </w:rPr>
        <w:t xml:space="preserve">, Dapagliflozin + Metformin, Dapagliflozin + </w:t>
      </w:r>
      <w:proofErr w:type="spellStart"/>
      <w:r w:rsidRPr="00D8047F">
        <w:rPr>
          <w:sz w:val="24"/>
          <w:szCs w:val="24"/>
        </w:rPr>
        <w:t>Saxagliptin</w:t>
      </w:r>
      <w:proofErr w:type="spellEnd"/>
      <w:r w:rsidRPr="00D8047F">
        <w:rPr>
          <w:sz w:val="24"/>
          <w:szCs w:val="24"/>
        </w:rPr>
        <w:t xml:space="preserve">, Dapagliflozin + </w:t>
      </w:r>
      <w:proofErr w:type="spellStart"/>
      <w:r w:rsidRPr="00D8047F">
        <w:rPr>
          <w:sz w:val="24"/>
          <w:szCs w:val="24"/>
        </w:rPr>
        <w:t>Glimepirid</w:t>
      </w:r>
      <w:proofErr w:type="spellEnd"/>
      <w:r w:rsidRPr="00D8047F">
        <w:rPr>
          <w:sz w:val="24"/>
          <w:szCs w:val="24"/>
        </w:rPr>
        <w:t xml:space="preserve"> dan Dapagliflozin </w:t>
      </w:r>
      <w:proofErr w:type="spellStart"/>
      <w:r w:rsidRPr="00D8047F">
        <w:rPr>
          <w:sz w:val="24"/>
          <w:szCs w:val="24"/>
        </w:rPr>
        <w:t>tunggal</w:t>
      </w:r>
      <w:proofErr w:type="spellEnd"/>
      <w:r>
        <w:rPr>
          <w:sz w:val="24"/>
          <w:szCs w:val="24"/>
        </w:rPr>
        <w:t>.</w:t>
      </w:r>
    </w:p>
    <w:p w14:paraId="7F500C96" w14:textId="77777777" w:rsidR="00616031" w:rsidRDefault="00616031" w:rsidP="00616031">
      <w:pPr>
        <w:ind w:firstLine="450"/>
        <w:jc w:val="both"/>
        <w:rPr>
          <w:sz w:val="24"/>
          <w:szCs w:val="24"/>
        </w:rPr>
      </w:pPr>
      <w:proofErr w:type="spellStart"/>
      <w:r w:rsidRPr="00D8047F">
        <w:rPr>
          <w:sz w:val="24"/>
          <w:szCs w:val="24"/>
        </w:rPr>
        <w:t>Berdasarkan</w:t>
      </w:r>
      <w:proofErr w:type="spellEnd"/>
      <w:r w:rsidRPr="00D8047F">
        <w:rPr>
          <w:sz w:val="24"/>
          <w:szCs w:val="24"/>
        </w:rPr>
        <w:t xml:space="preserve"> </w:t>
      </w:r>
      <w:proofErr w:type="spellStart"/>
      <w:r w:rsidRPr="00D8047F">
        <w:rPr>
          <w:sz w:val="24"/>
          <w:szCs w:val="24"/>
        </w:rPr>
        <w:t>tabel</w:t>
      </w:r>
      <w:proofErr w:type="spellEnd"/>
      <w:r w:rsidRPr="00D8047F">
        <w:rPr>
          <w:sz w:val="24"/>
          <w:szCs w:val="24"/>
        </w:rPr>
        <w:t xml:space="preserve"> </w:t>
      </w:r>
      <w:r>
        <w:rPr>
          <w:sz w:val="24"/>
          <w:szCs w:val="24"/>
        </w:rPr>
        <w:t xml:space="preserve">2 </w:t>
      </w:r>
      <w:r w:rsidRPr="00D8047F">
        <w:rPr>
          <w:sz w:val="24"/>
          <w:szCs w:val="24"/>
        </w:rPr>
        <w:t>“</w:t>
      </w:r>
      <w:r w:rsidRPr="00D8047F">
        <w:rPr>
          <w:i/>
          <w:sz w:val="24"/>
          <w:szCs w:val="24"/>
        </w:rPr>
        <w:t xml:space="preserve">Paired Samples Test” </w:t>
      </w:r>
      <w:proofErr w:type="spellStart"/>
      <w:r w:rsidRPr="00D8047F">
        <w:rPr>
          <w:sz w:val="24"/>
          <w:szCs w:val="24"/>
        </w:rPr>
        <w:t>diatas</w:t>
      </w:r>
      <w:proofErr w:type="spellEnd"/>
      <w:r w:rsidRPr="00D8047F">
        <w:rPr>
          <w:sz w:val="24"/>
          <w:szCs w:val="24"/>
        </w:rPr>
        <w:t xml:space="preserve">, </w:t>
      </w:r>
      <w:proofErr w:type="spellStart"/>
      <w:r w:rsidRPr="00D8047F">
        <w:rPr>
          <w:sz w:val="24"/>
          <w:szCs w:val="24"/>
        </w:rPr>
        <w:t>diketahui</w:t>
      </w:r>
      <w:proofErr w:type="spellEnd"/>
      <w:r w:rsidRPr="00D8047F">
        <w:rPr>
          <w:sz w:val="24"/>
          <w:szCs w:val="24"/>
        </w:rPr>
        <w:t xml:space="preserve"> </w:t>
      </w:r>
      <w:proofErr w:type="spellStart"/>
      <w:r w:rsidRPr="00D8047F">
        <w:rPr>
          <w:sz w:val="24"/>
          <w:szCs w:val="24"/>
        </w:rPr>
        <w:t>nilai</w:t>
      </w:r>
      <w:proofErr w:type="spellEnd"/>
      <w:r w:rsidRPr="00D8047F">
        <w:rPr>
          <w:sz w:val="24"/>
          <w:szCs w:val="24"/>
        </w:rPr>
        <w:t xml:space="preserve"> sig. (</w:t>
      </w:r>
      <w:r w:rsidRPr="00D8047F">
        <w:rPr>
          <w:i/>
          <w:sz w:val="24"/>
          <w:szCs w:val="24"/>
        </w:rPr>
        <w:t>2-tailed</w:t>
      </w:r>
      <w:r w:rsidRPr="00D8047F">
        <w:rPr>
          <w:sz w:val="24"/>
          <w:szCs w:val="24"/>
        </w:rPr>
        <w:t xml:space="preserve">) &lt; 0,05 </w:t>
      </w:r>
      <w:proofErr w:type="spellStart"/>
      <w:r w:rsidRPr="00D8047F">
        <w:rPr>
          <w:sz w:val="24"/>
          <w:szCs w:val="24"/>
        </w:rPr>
        <w:t>maka</w:t>
      </w:r>
      <w:proofErr w:type="spellEnd"/>
      <w:r w:rsidRPr="00D8047F">
        <w:rPr>
          <w:sz w:val="24"/>
          <w:szCs w:val="24"/>
        </w:rPr>
        <w:t xml:space="preserve"> </w:t>
      </w:r>
      <w:proofErr w:type="spellStart"/>
      <w:r w:rsidRPr="00D8047F">
        <w:rPr>
          <w:sz w:val="24"/>
          <w:szCs w:val="24"/>
        </w:rPr>
        <w:t>dapat</w:t>
      </w:r>
      <w:proofErr w:type="spellEnd"/>
      <w:r w:rsidRPr="00D8047F">
        <w:rPr>
          <w:sz w:val="24"/>
          <w:szCs w:val="24"/>
        </w:rPr>
        <w:t xml:space="preserve"> </w:t>
      </w:r>
      <w:proofErr w:type="spellStart"/>
      <w:r w:rsidRPr="00D8047F">
        <w:rPr>
          <w:sz w:val="24"/>
          <w:szCs w:val="24"/>
        </w:rPr>
        <w:t>diartikan</w:t>
      </w:r>
      <w:proofErr w:type="spellEnd"/>
      <w:r w:rsidRPr="00D8047F">
        <w:rPr>
          <w:sz w:val="24"/>
          <w:szCs w:val="24"/>
        </w:rPr>
        <w:t xml:space="preserve"> </w:t>
      </w:r>
      <w:proofErr w:type="spellStart"/>
      <w:r w:rsidRPr="00D8047F">
        <w:rPr>
          <w:sz w:val="24"/>
          <w:szCs w:val="24"/>
        </w:rPr>
        <w:t>adanya</w:t>
      </w:r>
      <w:proofErr w:type="spellEnd"/>
      <w:r w:rsidRPr="00D8047F">
        <w:rPr>
          <w:sz w:val="24"/>
          <w:szCs w:val="24"/>
        </w:rPr>
        <w:t xml:space="preserve"> </w:t>
      </w:r>
      <w:proofErr w:type="spellStart"/>
      <w:r w:rsidRPr="00D8047F">
        <w:rPr>
          <w:sz w:val="24"/>
          <w:szCs w:val="24"/>
        </w:rPr>
        <w:t>perbedaan</w:t>
      </w:r>
      <w:proofErr w:type="spellEnd"/>
      <w:r w:rsidRPr="00D8047F">
        <w:rPr>
          <w:sz w:val="24"/>
          <w:szCs w:val="24"/>
        </w:rPr>
        <w:t xml:space="preserve"> rata-rata </w:t>
      </w:r>
      <w:proofErr w:type="spellStart"/>
      <w:r w:rsidRPr="00D8047F">
        <w:rPr>
          <w:sz w:val="24"/>
          <w:szCs w:val="24"/>
        </w:rPr>
        <w:t>antara</w:t>
      </w:r>
      <w:proofErr w:type="spellEnd"/>
      <w:r w:rsidRPr="00D8047F">
        <w:rPr>
          <w:sz w:val="24"/>
          <w:szCs w:val="24"/>
        </w:rPr>
        <w:t xml:space="preserve"> </w:t>
      </w:r>
      <w:proofErr w:type="spellStart"/>
      <w:r w:rsidRPr="00D8047F">
        <w:rPr>
          <w:sz w:val="24"/>
          <w:szCs w:val="24"/>
        </w:rPr>
        <w:t>kadar</w:t>
      </w:r>
      <w:proofErr w:type="spellEnd"/>
      <w:r w:rsidRPr="00D8047F">
        <w:rPr>
          <w:sz w:val="24"/>
          <w:szCs w:val="24"/>
        </w:rPr>
        <w:t xml:space="preserve"> </w:t>
      </w:r>
      <w:proofErr w:type="spellStart"/>
      <w:r w:rsidRPr="00D8047F">
        <w:rPr>
          <w:sz w:val="24"/>
          <w:szCs w:val="24"/>
        </w:rPr>
        <w:t>glukosa</w:t>
      </w:r>
      <w:proofErr w:type="spellEnd"/>
      <w:r w:rsidRPr="00D8047F">
        <w:rPr>
          <w:sz w:val="24"/>
          <w:szCs w:val="24"/>
        </w:rPr>
        <w:t xml:space="preserve"> </w:t>
      </w:r>
      <w:proofErr w:type="spellStart"/>
      <w:r w:rsidRPr="00D8047F">
        <w:rPr>
          <w:sz w:val="24"/>
          <w:szCs w:val="24"/>
        </w:rPr>
        <w:t>darah</w:t>
      </w:r>
      <w:proofErr w:type="spellEnd"/>
      <w:r w:rsidRPr="00D8047F">
        <w:rPr>
          <w:sz w:val="24"/>
          <w:szCs w:val="24"/>
        </w:rPr>
        <w:t xml:space="preserve"> Pre dan Post Test DX </w:t>
      </w:r>
      <w:r w:rsidRPr="00D8047F">
        <w:rPr>
          <w:b/>
          <w:sz w:val="24"/>
          <w:szCs w:val="24"/>
        </w:rPr>
        <w:fldChar w:fldCharType="begin" w:fldLock="1"/>
      </w:r>
      <w:r>
        <w:rPr>
          <w:sz w:val="24"/>
          <w:szCs w:val="24"/>
        </w:rPr>
        <w:instrText>ADDIN CSL_CITATION {"citationItems":[{"id":"ITEM-1","itemData":{"author":[{"dropping-particle":"","family":"Santoso","given":"Singgih","non-dropping-particle":"","parse-names":false,"suffix":""}],"id":"ITEM-1","issued":{"date-parts":[["2014"]]},"publisher":"PT. Alex Media Komputindo","publisher-place":"Jakarta","title":"Panduan lengkap SPSS Versi 20 Edisi Revisi","type":"book"},"uris":["http://www.mendeley.com/documents/?uuid=e7fae86d-c064-4522-89e2-eaabf1109127"]}],"mendeley":{"formattedCitation":"(Santoso, 2014)","plainTextFormattedCitation":"(Santoso, 2014)","previouslyFormattedCitation":"(18)"},"properties":{"noteIndex":0},"schema":"https://github.com/citation-style-language/schema/raw/master/csl-citation.json"}</w:instrText>
      </w:r>
      <w:r w:rsidRPr="00D8047F">
        <w:rPr>
          <w:b/>
          <w:sz w:val="24"/>
          <w:szCs w:val="24"/>
        </w:rPr>
        <w:fldChar w:fldCharType="separate"/>
      </w:r>
      <w:r w:rsidRPr="00DA390C">
        <w:rPr>
          <w:noProof/>
          <w:sz w:val="24"/>
          <w:szCs w:val="24"/>
        </w:rPr>
        <w:t>(Santoso, 2014)</w:t>
      </w:r>
      <w:r w:rsidRPr="00D8047F">
        <w:rPr>
          <w:b/>
          <w:sz w:val="24"/>
          <w:szCs w:val="24"/>
        </w:rPr>
        <w:fldChar w:fldCharType="end"/>
      </w:r>
      <w:r>
        <w:rPr>
          <w:sz w:val="24"/>
          <w:szCs w:val="24"/>
        </w:rPr>
        <w:t>.</w:t>
      </w:r>
    </w:p>
    <w:p w14:paraId="2C657FD2" w14:textId="77777777" w:rsidR="00616031" w:rsidRDefault="00616031" w:rsidP="00616031">
      <w:pPr>
        <w:ind w:firstLine="450"/>
        <w:jc w:val="both"/>
        <w:rPr>
          <w:sz w:val="24"/>
          <w:szCs w:val="24"/>
        </w:rPr>
      </w:pPr>
      <w:proofErr w:type="spellStart"/>
      <w:r w:rsidRPr="00E55EF8">
        <w:rPr>
          <w:sz w:val="24"/>
          <w:szCs w:val="24"/>
        </w:rPr>
        <w:t>Berdasarkan</w:t>
      </w:r>
      <w:proofErr w:type="spellEnd"/>
      <w:r w:rsidRPr="00E55EF8">
        <w:rPr>
          <w:sz w:val="24"/>
          <w:szCs w:val="24"/>
        </w:rPr>
        <w:t xml:space="preserve"> </w:t>
      </w:r>
      <w:proofErr w:type="spellStart"/>
      <w:r w:rsidRPr="00E55EF8">
        <w:rPr>
          <w:sz w:val="24"/>
          <w:szCs w:val="24"/>
        </w:rPr>
        <w:t>hasil</w:t>
      </w:r>
      <w:proofErr w:type="spellEnd"/>
      <w:r w:rsidRPr="00E55EF8">
        <w:rPr>
          <w:sz w:val="24"/>
          <w:szCs w:val="24"/>
        </w:rPr>
        <w:t xml:space="preserve"> uji </w:t>
      </w:r>
      <w:proofErr w:type="spellStart"/>
      <w:r w:rsidRPr="00E55EF8">
        <w:rPr>
          <w:sz w:val="24"/>
          <w:szCs w:val="24"/>
        </w:rPr>
        <w:t>normalitas</w:t>
      </w:r>
      <w:proofErr w:type="spellEnd"/>
      <w:r w:rsidRPr="00E55EF8">
        <w:rPr>
          <w:sz w:val="24"/>
          <w:szCs w:val="24"/>
        </w:rPr>
        <w:t xml:space="preserve"> </w:t>
      </w:r>
      <w:proofErr w:type="spellStart"/>
      <w:r w:rsidRPr="00E55EF8">
        <w:rPr>
          <w:sz w:val="24"/>
          <w:szCs w:val="24"/>
        </w:rPr>
        <w:t>diatas</w:t>
      </w:r>
      <w:proofErr w:type="spellEnd"/>
      <w:r w:rsidRPr="00E55EF8">
        <w:rPr>
          <w:sz w:val="24"/>
          <w:szCs w:val="24"/>
        </w:rPr>
        <w:t xml:space="preserve"> </w:t>
      </w:r>
      <w:proofErr w:type="spellStart"/>
      <w:r w:rsidRPr="00E55EF8">
        <w:rPr>
          <w:sz w:val="24"/>
          <w:szCs w:val="24"/>
        </w:rPr>
        <w:t>menunjukan</w:t>
      </w:r>
      <w:proofErr w:type="spellEnd"/>
      <w:r w:rsidRPr="00E55EF8">
        <w:rPr>
          <w:sz w:val="24"/>
          <w:szCs w:val="24"/>
        </w:rPr>
        <w:t xml:space="preserve"> </w:t>
      </w:r>
      <w:proofErr w:type="spellStart"/>
      <w:r w:rsidRPr="00E55EF8">
        <w:rPr>
          <w:sz w:val="24"/>
          <w:szCs w:val="24"/>
        </w:rPr>
        <w:t>nilai</w:t>
      </w:r>
      <w:proofErr w:type="spellEnd"/>
      <w:r w:rsidRPr="00E55EF8">
        <w:rPr>
          <w:sz w:val="24"/>
          <w:szCs w:val="24"/>
        </w:rPr>
        <w:t xml:space="preserve"> sig &gt; 0,05 yang </w:t>
      </w:r>
      <w:proofErr w:type="spellStart"/>
      <w:r w:rsidRPr="00E55EF8">
        <w:rPr>
          <w:sz w:val="24"/>
          <w:szCs w:val="24"/>
        </w:rPr>
        <w:t>art</w:t>
      </w:r>
      <w:r>
        <w:rPr>
          <w:sz w:val="24"/>
          <w:szCs w:val="24"/>
        </w:rPr>
        <w:t>inya</w:t>
      </w:r>
      <w:proofErr w:type="spellEnd"/>
      <w:r>
        <w:rPr>
          <w:sz w:val="24"/>
          <w:szCs w:val="24"/>
        </w:rPr>
        <w:t xml:space="preserve"> data </w:t>
      </w:r>
      <w:proofErr w:type="spellStart"/>
      <w:r>
        <w:rPr>
          <w:sz w:val="24"/>
          <w:szCs w:val="24"/>
        </w:rPr>
        <w:t>terdistribusi</w:t>
      </w:r>
      <w:proofErr w:type="spellEnd"/>
      <w:r>
        <w:rPr>
          <w:sz w:val="24"/>
          <w:szCs w:val="24"/>
        </w:rPr>
        <w:t xml:space="preserve"> normal. </w:t>
      </w:r>
      <w:proofErr w:type="spellStart"/>
      <w:r w:rsidRPr="00E55EF8">
        <w:rPr>
          <w:sz w:val="24"/>
          <w:szCs w:val="24"/>
        </w:rPr>
        <w:t>Berdasarkan</w:t>
      </w:r>
      <w:proofErr w:type="spellEnd"/>
      <w:r w:rsidRPr="00E55EF8">
        <w:rPr>
          <w:sz w:val="24"/>
          <w:szCs w:val="24"/>
        </w:rPr>
        <w:t xml:space="preserve"> Output </w:t>
      </w:r>
      <w:proofErr w:type="spellStart"/>
      <w:r w:rsidRPr="00E55EF8">
        <w:rPr>
          <w:sz w:val="24"/>
          <w:szCs w:val="24"/>
        </w:rPr>
        <w:t>Anova</w:t>
      </w:r>
      <w:proofErr w:type="spellEnd"/>
      <w:r w:rsidRPr="00E55EF8">
        <w:rPr>
          <w:sz w:val="24"/>
          <w:szCs w:val="24"/>
        </w:rPr>
        <w:t xml:space="preserve"> </w:t>
      </w:r>
      <w:proofErr w:type="spellStart"/>
      <w:r w:rsidRPr="00E55EF8">
        <w:rPr>
          <w:sz w:val="24"/>
          <w:szCs w:val="24"/>
        </w:rPr>
        <w:t>tabel</w:t>
      </w:r>
      <w:proofErr w:type="spellEnd"/>
      <w:r w:rsidRPr="00E55EF8">
        <w:rPr>
          <w:sz w:val="24"/>
          <w:szCs w:val="24"/>
        </w:rPr>
        <w:t xml:space="preserve"> 5 </w:t>
      </w:r>
      <w:proofErr w:type="spellStart"/>
      <w:r w:rsidRPr="00E55EF8">
        <w:rPr>
          <w:sz w:val="24"/>
          <w:szCs w:val="24"/>
        </w:rPr>
        <w:t>diketahui</w:t>
      </w:r>
      <w:proofErr w:type="spellEnd"/>
      <w:r w:rsidRPr="00E55EF8">
        <w:rPr>
          <w:sz w:val="24"/>
          <w:szCs w:val="24"/>
        </w:rPr>
        <w:t xml:space="preserve"> </w:t>
      </w:r>
      <w:proofErr w:type="spellStart"/>
      <w:r w:rsidRPr="00E55EF8">
        <w:rPr>
          <w:sz w:val="24"/>
          <w:szCs w:val="24"/>
        </w:rPr>
        <w:t>nilai</w:t>
      </w:r>
      <w:proofErr w:type="spellEnd"/>
      <w:r w:rsidRPr="00E55EF8">
        <w:rPr>
          <w:sz w:val="24"/>
          <w:szCs w:val="24"/>
        </w:rPr>
        <w:t xml:space="preserve"> sig. </w:t>
      </w:r>
      <w:proofErr w:type="spellStart"/>
      <w:r w:rsidRPr="00E55EF8">
        <w:rPr>
          <w:sz w:val="24"/>
          <w:szCs w:val="24"/>
        </w:rPr>
        <w:t>sebesar</w:t>
      </w:r>
      <w:proofErr w:type="spellEnd"/>
      <w:r w:rsidRPr="00E55EF8">
        <w:rPr>
          <w:sz w:val="24"/>
          <w:szCs w:val="24"/>
        </w:rPr>
        <w:t xml:space="preserve"> 0,001 &lt; 0,</w:t>
      </w:r>
      <w:proofErr w:type="gramStart"/>
      <w:r w:rsidRPr="00E55EF8">
        <w:rPr>
          <w:sz w:val="24"/>
          <w:szCs w:val="24"/>
        </w:rPr>
        <w:t xml:space="preserve">05, </w:t>
      </w:r>
      <w:r>
        <w:rPr>
          <w:sz w:val="24"/>
          <w:szCs w:val="24"/>
        </w:rPr>
        <w:t xml:space="preserve"> </w:t>
      </w:r>
      <w:proofErr w:type="spellStart"/>
      <w:r w:rsidRPr="00E55EF8">
        <w:rPr>
          <w:sz w:val="24"/>
          <w:szCs w:val="24"/>
        </w:rPr>
        <w:t>sehingga</w:t>
      </w:r>
      <w:proofErr w:type="spellEnd"/>
      <w:proofErr w:type="gramEnd"/>
      <w:r w:rsidRPr="00E55EF8">
        <w:rPr>
          <w:sz w:val="24"/>
          <w:szCs w:val="24"/>
        </w:rPr>
        <w:t xml:space="preserve"> </w:t>
      </w:r>
      <w:proofErr w:type="spellStart"/>
      <w:r w:rsidRPr="00E55EF8">
        <w:rPr>
          <w:sz w:val="24"/>
          <w:szCs w:val="24"/>
        </w:rPr>
        <w:t>dapat</w:t>
      </w:r>
      <w:proofErr w:type="spellEnd"/>
      <w:r w:rsidRPr="00E55EF8">
        <w:rPr>
          <w:sz w:val="24"/>
          <w:szCs w:val="24"/>
        </w:rPr>
        <w:t xml:space="preserve"> </w:t>
      </w:r>
      <w:proofErr w:type="spellStart"/>
      <w:r w:rsidRPr="00E55EF8">
        <w:rPr>
          <w:sz w:val="24"/>
          <w:szCs w:val="24"/>
        </w:rPr>
        <w:t>disimpulkan</w:t>
      </w:r>
      <w:proofErr w:type="spellEnd"/>
      <w:r w:rsidRPr="00E55EF8">
        <w:rPr>
          <w:sz w:val="24"/>
          <w:szCs w:val="24"/>
        </w:rPr>
        <w:t xml:space="preserve"> </w:t>
      </w:r>
      <w:proofErr w:type="spellStart"/>
      <w:r w:rsidRPr="00E55EF8">
        <w:rPr>
          <w:sz w:val="24"/>
          <w:szCs w:val="24"/>
        </w:rPr>
        <w:t>bahwa</w:t>
      </w:r>
      <w:proofErr w:type="spellEnd"/>
      <w:r w:rsidRPr="00E55EF8">
        <w:rPr>
          <w:sz w:val="24"/>
          <w:szCs w:val="24"/>
        </w:rPr>
        <w:t xml:space="preserve"> rata-rata </w:t>
      </w:r>
      <w:proofErr w:type="spellStart"/>
      <w:r w:rsidRPr="00E55EF8">
        <w:rPr>
          <w:sz w:val="24"/>
          <w:szCs w:val="24"/>
        </w:rPr>
        <w:t>ketiga</w:t>
      </w:r>
      <w:proofErr w:type="spellEnd"/>
      <w:r w:rsidRPr="00E55EF8">
        <w:rPr>
          <w:sz w:val="24"/>
          <w:szCs w:val="24"/>
        </w:rPr>
        <w:t xml:space="preserve"> </w:t>
      </w:r>
      <w:proofErr w:type="spellStart"/>
      <w:r w:rsidRPr="00E55EF8">
        <w:rPr>
          <w:sz w:val="24"/>
          <w:szCs w:val="24"/>
        </w:rPr>
        <w:t>kelompok</w:t>
      </w:r>
      <w:proofErr w:type="spellEnd"/>
      <w:r w:rsidRPr="00E55EF8">
        <w:rPr>
          <w:sz w:val="24"/>
          <w:szCs w:val="24"/>
        </w:rPr>
        <w:t xml:space="preserve"> uji </w:t>
      </w:r>
      <w:proofErr w:type="spellStart"/>
      <w:r w:rsidRPr="00E55EF8">
        <w:rPr>
          <w:sz w:val="24"/>
          <w:szCs w:val="24"/>
        </w:rPr>
        <w:t>tersebut</w:t>
      </w:r>
      <w:proofErr w:type="spellEnd"/>
      <w:r w:rsidRPr="00E55EF8">
        <w:rPr>
          <w:sz w:val="24"/>
          <w:szCs w:val="24"/>
        </w:rPr>
        <w:t xml:space="preserve"> </w:t>
      </w:r>
      <w:proofErr w:type="spellStart"/>
      <w:r w:rsidRPr="00E55EF8">
        <w:rPr>
          <w:sz w:val="24"/>
          <w:szCs w:val="24"/>
        </w:rPr>
        <w:t>berbeda</w:t>
      </w:r>
      <w:proofErr w:type="spellEnd"/>
      <w:r w:rsidRPr="00E55EF8">
        <w:rPr>
          <w:sz w:val="24"/>
          <w:szCs w:val="24"/>
        </w:rPr>
        <w:t xml:space="preserve"> </w:t>
      </w:r>
      <w:proofErr w:type="spellStart"/>
      <w:r w:rsidRPr="00E55EF8">
        <w:rPr>
          <w:sz w:val="24"/>
          <w:szCs w:val="24"/>
        </w:rPr>
        <w:t>secara</w:t>
      </w:r>
      <w:proofErr w:type="spellEnd"/>
      <w:r w:rsidRPr="00E55EF8">
        <w:rPr>
          <w:sz w:val="24"/>
          <w:szCs w:val="24"/>
        </w:rPr>
        <w:t xml:space="preserve"> </w:t>
      </w:r>
      <w:proofErr w:type="spellStart"/>
      <w:r w:rsidRPr="00E55EF8">
        <w:rPr>
          <w:sz w:val="24"/>
          <w:szCs w:val="24"/>
        </w:rPr>
        <w:t>signifikan</w:t>
      </w:r>
      <w:proofErr w:type="spellEnd"/>
      <w:r w:rsidRPr="00E55EF8">
        <w:rPr>
          <w:sz w:val="24"/>
          <w:szCs w:val="24"/>
        </w:rPr>
        <w:t xml:space="preserve"> (</w:t>
      </w:r>
      <w:proofErr w:type="spellStart"/>
      <w:r w:rsidRPr="00E55EF8">
        <w:rPr>
          <w:sz w:val="24"/>
          <w:szCs w:val="24"/>
        </w:rPr>
        <w:t>ada</w:t>
      </w:r>
      <w:proofErr w:type="spellEnd"/>
      <w:r w:rsidRPr="00E55EF8">
        <w:rPr>
          <w:sz w:val="24"/>
          <w:szCs w:val="24"/>
        </w:rPr>
        <w:t xml:space="preserve"> </w:t>
      </w:r>
      <w:proofErr w:type="spellStart"/>
      <w:r w:rsidRPr="00E55EF8">
        <w:rPr>
          <w:sz w:val="24"/>
          <w:szCs w:val="24"/>
        </w:rPr>
        <w:t>perbedaan</w:t>
      </w:r>
      <w:proofErr w:type="spellEnd"/>
      <w:r w:rsidRPr="00E55EF8">
        <w:rPr>
          <w:sz w:val="24"/>
          <w:szCs w:val="24"/>
        </w:rPr>
        <w:t xml:space="preserve"> yang </w:t>
      </w:r>
      <w:proofErr w:type="spellStart"/>
      <w:r w:rsidRPr="00E55EF8">
        <w:rPr>
          <w:sz w:val="24"/>
          <w:szCs w:val="24"/>
        </w:rPr>
        <w:t>bermakna</w:t>
      </w:r>
      <w:proofErr w:type="spellEnd"/>
      <w:r w:rsidRPr="00E55EF8">
        <w:rPr>
          <w:sz w:val="24"/>
          <w:szCs w:val="24"/>
        </w:rPr>
        <w:t xml:space="preserve"> rata-rata </w:t>
      </w:r>
      <w:proofErr w:type="spellStart"/>
      <w:r w:rsidRPr="00E55EF8">
        <w:rPr>
          <w:sz w:val="24"/>
          <w:szCs w:val="24"/>
        </w:rPr>
        <w:t>kadar</w:t>
      </w:r>
      <w:proofErr w:type="spellEnd"/>
      <w:r w:rsidRPr="00E55EF8">
        <w:rPr>
          <w:sz w:val="24"/>
          <w:szCs w:val="24"/>
        </w:rPr>
        <w:t xml:space="preserve"> </w:t>
      </w:r>
      <w:proofErr w:type="spellStart"/>
      <w:r w:rsidRPr="00E55EF8">
        <w:rPr>
          <w:sz w:val="24"/>
          <w:szCs w:val="24"/>
        </w:rPr>
        <w:t>glukosa</w:t>
      </w:r>
      <w:proofErr w:type="spellEnd"/>
      <w:r>
        <w:rPr>
          <w:sz w:val="24"/>
          <w:szCs w:val="24"/>
        </w:rPr>
        <w:t xml:space="preserve"> </w:t>
      </w:r>
      <w:proofErr w:type="spellStart"/>
      <w:r>
        <w:rPr>
          <w:sz w:val="24"/>
          <w:szCs w:val="24"/>
        </w:rPr>
        <w:t>darah</w:t>
      </w:r>
      <w:proofErr w:type="spellEnd"/>
      <w:r>
        <w:rPr>
          <w:sz w:val="24"/>
          <w:szCs w:val="24"/>
        </w:rPr>
        <w:t xml:space="preserve"> </w:t>
      </w:r>
      <w:proofErr w:type="spellStart"/>
      <w:r>
        <w:rPr>
          <w:sz w:val="24"/>
          <w:szCs w:val="24"/>
        </w:rPr>
        <w:t>mencit</w:t>
      </w:r>
      <w:proofErr w:type="spellEnd"/>
      <w:r>
        <w:rPr>
          <w:sz w:val="24"/>
          <w:szCs w:val="24"/>
        </w:rPr>
        <w:t xml:space="preserve"> </w:t>
      </w:r>
      <w:proofErr w:type="spellStart"/>
      <w:r>
        <w:rPr>
          <w:sz w:val="24"/>
          <w:szCs w:val="24"/>
        </w:rPr>
        <w:t>berdasarkan</w:t>
      </w:r>
      <w:proofErr w:type="spellEnd"/>
      <w:r>
        <w:rPr>
          <w:sz w:val="24"/>
          <w:szCs w:val="24"/>
        </w:rPr>
        <w:t xml:space="preserve"> </w:t>
      </w:r>
      <w:proofErr w:type="spellStart"/>
      <w:r>
        <w:rPr>
          <w:sz w:val="24"/>
          <w:szCs w:val="24"/>
        </w:rPr>
        <w:t>kelima</w:t>
      </w:r>
      <w:proofErr w:type="spellEnd"/>
      <w:r w:rsidRPr="00E55EF8">
        <w:rPr>
          <w:sz w:val="24"/>
          <w:szCs w:val="24"/>
        </w:rPr>
        <w:t xml:space="preserve"> </w:t>
      </w:r>
      <w:proofErr w:type="spellStart"/>
      <w:r w:rsidRPr="00E55EF8">
        <w:rPr>
          <w:sz w:val="24"/>
          <w:szCs w:val="24"/>
        </w:rPr>
        <w:t>kelompok</w:t>
      </w:r>
      <w:proofErr w:type="spellEnd"/>
      <w:r w:rsidRPr="00E55EF8">
        <w:rPr>
          <w:sz w:val="24"/>
          <w:szCs w:val="24"/>
        </w:rPr>
        <w:t xml:space="preserve"> uji </w:t>
      </w:r>
      <w:proofErr w:type="spellStart"/>
      <w:r w:rsidRPr="00E55EF8">
        <w:rPr>
          <w:sz w:val="24"/>
          <w:szCs w:val="24"/>
        </w:rPr>
        <w:t>tersebut</w:t>
      </w:r>
      <w:proofErr w:type="spellEnd"/>
      <w:r w:rsidRPr="00E55EF8">
        <w:rPr>
          <w:sz w:val="24"/>
          <w:szCs w:val="24"/>
        </w:rPr>
        <w:t xml:space="preserve">). </w:t>
      </w:r>
    </w:p>
    <w:p w14:paraId="195849D6" w14:textId="77777777" w:rsidR="00616031" w:rsidRDefault="00616031" w:rsidP="00616031">
      <w:pPr>
        <w:ind w:firstLine="450"/>
        <w:jc w:val="both"/>
        <w:rPr>
          <w:sz w:val="24"/>
          <w:szCs w:val="24"/>
        </w:rPr>
      </w:pPr>
      <w:r w:rsidRPr="00E55EF8">
        <w:rPr>
          <w:sz w:val="24"/>
          <w:szCs w:val="24"/>
        </w:rPr>
        <w:t xml:space="preserve">Oleh </w:t>
      </w:r>
      <w:proofErr w:type="spellStart"/>
      <w:r w:rsidRPr="00E55EF8">
        <w:rPr>
          <w:sz w:val="24"/>
          <w:szCs w:val="24"/>
        </w:rPr>
        <w:t>karena</w:t>
      </w:r>
      <w:proofErr w:type="spellEnd"/>
      <w:r w:rsidRPr="00E55EF8">
        <w:rPr>
          <w:sz w:val="24"/>
          <w:szCs w:val="24"/>
        </w:rPr>
        <w:t xml:space="preserve"> </w:t>
      </w:r>
      <w:proofErr w:type="spellStart"/>
      <w:r w:rsidRPr="00E55EF8">
        <w:rPr>
          <w:sz w:val="24"/>
          <w:szCs w:val="24"/>
        </w:rPr>
        <w:t>itu</w:t>
      </w:r>
      <w:proofErr w:type="spellEnd"/>
      <w:r w:rsidRPr="00E55EF8">
        <w:rPr>
          <w:sz w:val="24"/>
          <w:szCs w:val="24"/>
        </w:rPr>
        <w:t xml:space="preserve"> </w:t>
      </w:r>
      <w:proofErr w:type="spellStart"/>
      <w:r w:rsidRPr="00E55EF8">
        <w:rPr>
          <w:sz w:val="24"/>
          <w:szCs w:val="24"/>
        </w:rPr>
        <w:t>perlu</w:t>
      </w:r>
      <w:proofErr w:type="spellEnd"/>
      <w:r w:rsidRPr="00E55EF8">
        <w:rPr>
          <w:sz w:val="24"/>
          <w:szCs w:val="24"/>
        </w:rPr>
        <w:t xml:space="preserve"> </w:t>
      </w:r>
      <w:proofErr w:type="spellStart"/>
      <w:r w:rsidRPr="00E55EF8">
        <w:rPr>
          <w:sz w:val="24"/>
          <w:szCs w:val="24"/>
        </w:rPr>
        <w:t>dilakukan</w:t>
      </w:r>
      <w:proofErr w:type="spellEnd"/>
      <w:r w:rsidRPr="00E55EF8">
        <w:rPr>
          <w:sz w:val="24"/>
          <w:szCs w:val="24"/>
        </w:rPr>
        <w:t xml:space="preserve"> </w:t>
      </w:r>
      <w:proofErr w:type="spellStart"/>
      <w:r w:rsidRPr="00E55EF8">
        <w:rPr>
          <w:sz w:val="24"/>
          <w:szCs w:val="24"/>
        </w:rPr>
        <w:t>analisis</w:t>
      </w:r>
      <w:proofErr w:type="spellEnd"/>
      <w:r w:rsidRPr="00E55EF8">
        <w:rPr>
          <w:sz w:val="24"/>
          <w:szCs w:val="24"/>
        </w:rPr>
        <w:t xml:space="preserve"> data Pos </w:t>
      </w:r>
      <w:proofErr w:type="gramStart"/>
      <w:r w:rsidRPr="00E55EF8">
        <w:rPr>
          <w:sz w:val="24"/>
          <w:szCs w:val="24"/>
        </w:rPr>
        <w:t>Hoc</w:t>
      </w:r>
      <w:proofErr w:type="gramEnd"/>
      <w:r w:rsidRPr="00E55EF8">
        <w:rPr>
          <w:sz w:val="24"/>
          <w:szCs w:val="24"/>
        </w:rPr>
        <w:t xml:space="preserve"> Test </w:t>
      </w:r>
      <w:proofErr w:type="spellStart"/>
      <w:r w:rsidRPr="00E55EF8">
        <w:rPr>
          <w:sz w:val="24"/>
          <w:szCs w:val="24"/>
        </w:rPr>
        <w:t>menggunakan</w:t>
      </w:r>
      <w:proofErr w:type="spellEnd"/>
      <w:r w:rsidRPr="00E55EF8">
        <w:rPr>
          <w:sz w:val="24"/>
          <w:szCs w:val="24"/>
        </w:rPr>
        <w:t xml:space="preserve"> </w:t>
      </w:r>
      <w:proofErr w:type="spellStart"/>
      <w:r w:rsidRPr="00E55EF8">
        <w:rPr>
          <w:sz w:val="24"/>
          <w:szCs w:val="24"/>
        </w:rPr>
        <w:t>pengujian</w:t>
      </w:r>
      <w:proofErr w:type="spellEnd"/>
      <w:r w:rsidRPr="00E55EF8">
        <w:rPr>
          <w:sz w:val="24"/>
          <w:szCs w:val="24"/>
        </w:rPr>
        <w:t xml:space="preserve"> Tukey HSD. </w:t>
      </w:r>
      <w:proofErr w:type="spellStart"/>
      <w:r w:rsidRPr="002413DF">
        <w:rPr>
          <w:sz w:val="24"/>
          <w:szCs w:val="24"/>
        </w:rPr>
        <w:t>menunjukan</w:t>
      </w:r>
      <w:proofErr w:type="spellEnd"/>
      <w:r w:rsidRPr="002413DF">
        <w:rPr>
          <w:sz w:val="24"/>
          <w:szCs w:val="24"/>
        </w:rPr>
        <w:t xml:space="preserve"> </w:t>
      </w:r>
      <w:proofErr w:type="spellStart"/>
      <w:r w:rsidRPr="002413DF">
        <w:rPr>
          <w:sz w:val="24"/>
          <w:szCs w:val="24"/>
        </w:rPr>
        <w:t>hanya</w:t>
      </w:r>
      <w:proofErr w:type="spellEnd"/>
      <w:r w:rsidRPr="002413DF">
        <w:rPr>
          <w:sz w:val="24"/>
          <w:szCs w:val="24"/>
        </w:rPr>
        <w:t xml:space="preserve"> </w:t>
      </w:r>
      <w:proofErr w:type="spellStart"/>
      <w:r w:rsidRPr="002413DF">
        <w:rPr>
          <w:sz w:val="24"/>
          <w:szCs w:val="24"/>
        </w:rPr>
        <w:t>penggunaan</w:t>
      </w:r>
      <w:proofErr w:type="spellEnd"/>
      <w:r w:rsidRPr="002413DF">
        <w:rPr>
          <w:sz w:val="24"/>
          <w:szCs w:val="24"/>
        </w:rPr>
        <w:t xml:space="preserve"> dapagliflozin </w:t>
      </w:r>
      <w:proofErr w:type="spellStart"/>
      <w:r w:rsidRPr="002413DF">
        <w:rPr>
          <w:sz w:val="24"/>
          <w:szCs w:val="24"/>
        </w:rPr>
        <w:t>tunggal</w:t>
      </w:r>
      <w:proofErr w:type="spellEnd"/>
      <w:r w:rsidRPr="002413DF">
        <w:rPr>
          <w:sz w:val="24"/>
          <w:szCs w:val="24"/>
        </w:rPr>
        <w:t xml:space="preserve"> </w:t>
      </w:r>
      <w:proofErr w:type="spellStart"/>
      <w:r w:rsidRPr="002413DF">
        <w:rPr>
          <w:sz w:val="24"/>
          <w:szCs w:val="24"/>
        </w:rPr>
        <w:t>dengan</w:t>
      </w:r>
      <w:proofErr w:type="spellEnd"/>
      <w:r w:rsidRPr="002413DF">
        <w:rPr>
          <w:sz w:val="24"/>
          <w:szCs w:val="24"/>
        </w:rPr>
        <w:t xml:space="preserve"> </w:t>
      </w:r>
      <w:proofErr w:type="spellStart"/>
      <w:r w:rsidRPr="002413DF">
        <w:rPr>
          <w:sz w:val="24"/>
          <w:szCs w:val="24"/>
        </w:rPr>
        <w:t>kombinasi</w:t>
      </w:r>
      <w:proofErr w:type="spellEnd"/>
      <w:r w:rsidRPr="002413DF">
        <w:rPr>
          <w:sz w:val="24"/>
          <w:szCs w:val="24"/>
        </w:rPr>
        <w:t xml:space="preserve"> dapagliflozin + </w:t>
      </w:r>
      <w:proofErr w:type="spellStart"/>
      <w:r w:rsidRPr="002413DF">
        <w:rPr>
          <w:sz w:val="24"/>
          <w:szCs w:val="24"/>
        </w:rPr>
        <w:t>glimepirid</w:t>
      </w:r>
      <w:proofErr w:type="spellEnd"/>
      <w:r w:rsidRPr="002413DF">
        <w:rPr>
          <w:sz w:val="24"/>
          <w:szCs w:val="24"/>
        </w:rPr>
        <w:t xml:space="preserve">, </w:t>
      </w:r>
      <w:proofErr w:type="spellStart"/>
      <w:r w:rsidRPr="002413DF">
        <w:rPr>
          <w:sz w:val="24"/>
          <w:szCs w:val="24"/>
        </w:rPr>
        <w:t>kombinasi</w:t>
      </w:r>
      <w:proofErr w:type="spellEnd"/>
      <w:r w:rsidRPr="002413DF">
        <w:rPr>
          <w:sz w:val="24"/>
          <w:szCs w:val="24"/>
        </w:rPr>
        <w:t xml:space="preserve"> dapagliflozin + metformin </w:t>
      </w:r>
      <w:proofErr w:type="spellStart"/>
      <w:r w:rsidRPr="002413DF">
        <w:rPr>
          <w:sz w:val="24"/>
          <w:szCs w:val="24"/>
        </w:rPr>
        <w:t>dengan</w:t>
      </w:r>
      <w:proofErr w:type="spellEnd"/>
      <w:r w:rsidRPr="002413DF">
        <w:rPr>
          <w:sz w:val="24"/>
          <w:szCs w:val="24"/>
        </w:rPr>
        <w:t xml:space="preserve"> </w:t>
      </w:r>
      <w:proofErr w:type="spellStart"/>
      <w:r w:rsidRPr="002413DF">
        <w:rPr>
          <w:sz w:val="24"/>
          <w:szCs w:val="24"/>
        </w:rPr>
        <w:t>kombinasi</w:t>
      </w:r>
      <w:proofErr w:type="spellEnd"/>
      <w:r w:rsidRPr="002413DF">
        <w:rPr>
          <w:sz w:val="24"/>
          <w:szCs w:val="24"/>
        </w:rPr>
        <w:t xml:space="preserve"> dapagliflozin + </w:t>
      </w:r>
      <w:proofErr w:type="spellStart"/>
      <w:r w:rsidRPr="002413DF">
        <w:rPr>
          <w:sz w:val="24"/>
          <w:szCs w:val="24"/>
        </w:rPr>
        <w:t>saxagliptin</w:t>
      </w:r>
      <w:proofErr w:type="spellEnd"/>
      <w:r w:rsidRPr="002413DF">
        <w:rPr>
          <w:sz w:val="24"/>
          <w:szCs w:val="24"/>
        </w:rPr>
        <w:t xml:space="preserve"> dan </w:t>
      </w:r>
      <w:proofErr w:type="spellStart"/>
      <w:r w:rsidRPr="002413DF">
        <w:rPr>
          <w:sz w:val="24"/>
          <w:szCs w:val="24"/>
        </w:rPr>
        <w:t>kombinasi</w:t>
      </w:r>
      <w:proofErr w:type="spellEnd"/>
      <w:r w:rsidRPr="002413DF">
        <w:rPr>
          <w:sz w:val="24"/>
          <w:szCs w:val="24"/>
        </w:rPr>
        <w:t xml:space="preserve"> dapagliflozin + metformin </w:t>
      </w:r>
      <w:proofErr w:type="spellStart"/>
      <w:r w:rsidRPr="002413DF">
        <w:rPr>
          <w:sz w:val="24"/>
          <w:szCs w:val="24"/>
        </w:rPr>
        <w:t>dengan</w:t>
      </w:r>
      <w:proofErr w:type="spellEnd"/>
      <w:r w:rsidRPr="002413DF">
        <w:rPr>
          <w:sz w:val="24"/>
          <w:szCs w:val="24"/>
        </w:rPr>
        <w:t xml:space="preserve"> </w:t>
      </w:r>
      <w:proofErr w:type="spellStart"/>
      <w:r w:rsidRPr="002413DF">
        <w:rPr>
          <w:sz w:val="24"/>
          <w:szCs w:val="24"/>
        </w:rPr>
        <w:t>kombinasi</w:t>
      </w:r>
      <w:proofErr w:type="spellEnd"/>
      <w:r w:rsidRPr="002413DF">
        <w:rPr>
          <w:sz w:val="24"/>
          <w:szCs w:val="24"/>
        </w:rPr>
        <w:t xml:space="preserve"> dapagliflozin + metformin + </w:t>
      </w:r>
      <w:proofErr w:type="spellStart"/>
      <w:r w:rsidRPr="002413DF">
        <w:rPr>
          <w:sz w:val="24"/>
          <w:szCs w:val="24"/>
        </w:rPr>
        <w:t>saxaglitpin</w:t>
      </w:r>
      <w:proofErr w:type="spellEnd"/>
      <w:r w:rsidRPr="002413DF">
        <w:rPr>
          <w:sz w:val="24"/>
          <w:szCs w:val="24"/>
        </w:rPr>
        <w:t xml:space="preserve"> </w:t>
      </w:r>
      <w:proofErr w:type="spellStart"/>
      <w:r w:rsidRPr="002413DF">
        <w:rPr>
          <w:sz w:val="24"/>
          <w:szCs w:val="24"/>
        </w:rPr>
        <w:t>saja</w:t>
      </w:r>
      <w:proofErr w:type="spellEnd"/>
      <w:r w:rsidRPr="002413DF">
        <w:rPr>
          <w:sz w:val="24"/>
          <w:szCs w:val="24"/>
        </w:rPr>
        <w:t xml:space="preserve"> yang </w:t>
      </w:r>
      <w:proofErr w:type="spellStart"/>
      <w:r w:rsidRPr="002413DF">
        <w:rPr>
          <w:sz w:val="24"/>
          <w:szCs w:val="24"/>
        </w:rPr>
        <w:t>memiliki</w:t>
      </w:r>
      <w:proofErr w:type="spellEnd"/>
      <w:r w:rsidRPr="002413DF">
        <w:rPr>
          <w:sz w:val="24"/>
          <w:szCs w:val="24"/>
        </w:rPr>
        <w:t xml:space="preserve"> </w:t>
      </w:r>
      <w:proofErr w:type="spellStart"/>
      <w:r w:rsidRPr="002413DF">
        <w:rPr>
          <w:sz w:val="24"/>
          <w:szCs w:val="24"/>
        </w:rPr>
        <w:t>nilai</w:t>
      </w:r>
      <w:proofErr w:type="spellEnd"/>
      <w:r w:rsidRPr="002413DF">
        <w:rPr>
          <w:sz w:val="24"/>
          <w:szCs w:val="24"/>
        </w:rPr>
        <w:t xml:space="preserve"> sig. &gt; 0.05 yang </w:t>
      </w:r>
      <w:proofErr w:type="spellStart"/>
      <w:r w:rsidRPr="002413DF">
        <w:rPr>
          <w:sz w:val="24"/>
          <w:szCs w:val="24"/>
        </w:rPr>
        <w:t>artinya</w:t>
      </w:r>
      <w:proofErr w:type="spellEnd"/>
      <w:r w:rsidRPr="002413DF">
        <w:rPr>
          <w:sz w:val="24"/>
          <w:szCs w:val="24"/>
        </w:rPr>
        <w:t xml:space="preserve"> </w:t>
      </w:r>
      <w:proofErr w:type="spellStart"/>
      <w:r w:rsidRPr="002413DF">
        <w:rPr>
          <w:sz w:val="24"/>
          <w:szCs w:val="24"/>
        </w:rPr>
        <w:t>tidak</w:t>
      </w:r>
      <w:proofErr w:type="spellEnd"/>
      <w:r w:rsidRPr="002413DF">
        <w:rPr>
          <w:sz w:val="24"/>
          <w:szCs w:val="24"/>
        </w:rPr>
        <w:t xml:space="preserve"> </w:t>
      </w:r>
      <w:proofErr w:type="spellStart"/>
      <w:r w:rsidRPr="002413DF">
        <w:rPr>
          <w:sz w:val="24"/>
          <w:szCs w:val="24"/>
        </w:rPr>
        <w:t>ada</w:t>
      </w:r>
      <w:proofErr w:type="spellEnd"/>
      <w:r w:rsidRPr="002413DF">
        <w:rPr>
          <w:sz w:val="24"/>
          <w:szCs w:val="24"/>
        </w:rPr>
        <w:t xml:space="preserve"> </w:t>
      </w:r>
      <w:proofErr w:type="spellStart"/>
      <w:r w:rsidRPr="002413DF">
        <w:rPr>
          <w:sz w:val="24"/>
          <w:szCs w:val="24"/>
        </w:rPr>
        <w:t>perbedaan</w:t>
      </w:r>
      <w:proofErr w:type="spellEnd"/>
      <w:r w:rsidRPr="002413DF">
        <w:rPr>
          <w:sz w:val="24"/>
          <w:szCs w:val="24"/>
        </w:rPr>
        <w:t xml:space="preserve"> </w:t>
      </w:r>
      <w:proofErr w:type="spellStart"/>
      <w:r w:rsidRPr="002413DF">
        <w:rPr>
          <w:sz w:val="24"/>
          <w:szCs w:val="24"/>
        </w:rPr>
        <w:t>bermakna</w:t>
      </w:r>
      <w:proofErr w:type="spellEnd"/>
      <w:r w:rsidRPr="002413DF">
        <w:rPr>
          <w:sz w:val="24"/>
          <w:szCs w:val="24"/>
        </w:rPr>
        <w:t xml:space="preserve">, </w:t>
      </w:r>
      <w:proofErr w:type="spellStart"/>
      <w:r w:rsidRPr="002413DF">
        <w:rPr>
          <w:sz w:val="24"/>
          <w:szCs w:val="24"/>
        </w:rPr>
        <w:t>sedangkan</w:t>
      </w:r>
      <w:proofErr w:type="spellEnd"/>
      <w:r w:rsidRPr="002413DF">
        <w:rPr>
          <w:sz w:val="24"/>
          <w:szCs w:val="24"/>
        </w:rPr>
        <w:t xml:space="preserve"> </w:t>
      </w:r>
      <w:proofErr w:type="spellStart"/>
      <w:r w:rsidRPr="002413DF">
        <w:rPr>
          <w:sz w:val="24"/>
          <w:szCs w:val="24"/>
        </w:rPr>
        <w:t>perbandingan</w:t>
      </w:r>
      <w:proofErr w:type="spellEnd"/>
      <w:r w:rsidRPr="002413DF">
        <w:rPr>
          <w:sz w:val="24"/>
          <w:szCs w:val="24"/>
        </w:rPr>
        <w:t xml:space="preserve"> </w:t>
      </w:r>
      <w:proofErr w:type="spellStart"/>
      <w:r w:rsidRPr="002413DF">
        <w:rPr>
          <w:sz w:val="24"/>
          <w:szCs w:val="24"/>
        </w:rPr>
        <w:t>kelompok</w:t>
      </w:r>
      <w:proofErr w:type="spellEnd"/>
      <w:r w:rsidRPr="002413DF">
        <w:rPr>
          <w:sz w:val="24"/>
          <w:szCs w:val="24"/>
        </w:rPr>
        <w:t xml:space="preserve"> yang lain </w:t>
      </w:r>
      <w:proofErr w:type="spellStart"/>
      <w:r w:rsidRPr="002413DF">
        <w:rPr>
          <w:sz w:val="24"/>
          <w:szCs w:val="24"/>
        </w:rPr>
        <w:t>memiliki</w:t>
      </w:r>
      <w:proofErr w:type="spellEnd"/>
    </w:p>
    <w:p w14:paraId="469BEDB9" w14:textId="6B155528" w:rsidR="00616031" w:rsidRPr="00616031" w:rsidRDefault="00616031" w:rsidP="00616031">
      <w:pPr>
        <w:jc w:val="both"/>
        <w:rPr>
          <w:sz w:val="24"/>
          <w:szCs w:val="24"/>
        </w:rPr>
      </w:pPr>
      <w:proofErr w:type="spellStart"/>
      <w:r w:rsidRPr="002413DF">
        <w:rPr>
          <w:sz w:val="24"/>
          <w:szCs w:val="24"/>
        </w:rPr>
        <w:t>nilai</w:t>
      </w:r>
      <w:proofErr w:type="spellEnd"/>
      <w:r w:rsidRPr="002413DF">
        <w:rPr>
          <w:sz w:val="24"/>
          <w:szCs w:val="24"/>
        </w:rPr>
        <w:t xml:space="preserve"> sig. &lt; 0,05 yang </w:t>
      </w:r>
      <w:proofErr w:type="spellStart"/>
      <w:r w:rsidRPr="002413DF">
        <w:rPr>
          <w:sz w:val="24"/>
          <w:szCs w:val="24"/>
        </w:rPr>
        <w:t>artinya</w:t>
      </w:r>
      <w:proofErr w:type="spellEnd"/>
      <w:r w:rsidRPr="002413DF">
        <w:rPr>
          <w:sz w:val="24"/>
          <w:szCs w:val="24"/>
        </w:rPr>
        <w:t xml:space="preserve"> </w:t>
      </w:r>
      <w:proofErr w:type="spellStart"/>
      <w:r w:rsidRPr="002413DF">
        <w:rPr>
          <w:sz w:val="24"/>
          <w:szCs w:val="24"/>
        </w:rPr>
        <w:t>ada</w:t>
      </w:r>
      <w:proofErr w:type="spellEnd"/>
      <w:r w:rsidRPr="002413DF">
        <w:rPr>
          <w:sz w:val="24"/>
          <w:szCs w:val="24"/>
        </w:rPr>
        <w:t xml:space="preserve"> </w:t>
      </w:r>
      <w:proofErr w:type="spellStart"/>
      <w:r w:rsidRPr="002413DF">
        <w:rPr>
          <w:sz w:val="24"/>
          <w:szCs w:val="24"/>
        </w:rPr>
        <w:t>perbedaan</w:t>
      </w:r>
      <w:proofErr w:type="spellEnd"/>
      <w:r w:rsidRPr="002413DF">
        <w:rPr>
          <w:sz w:val="24"/>
          <w:szCs w:val="24"/>
        </w:rPr>
        <w:t xml:space="preserve"> </w:t>
      </w:r>
      <w:proofErr w:type="spellStart"/>
      <w:r w:rsidRPr="002413DF">
        <w:rPr>
          <w:sz w:val="24"/>
          <w:szCs w:val="24"/>
        </w:rPr>
        <w:t>bermakna</w:t>
      </w:r>
      <w:proofErr w:type="spellEnd"/>
      <w:r w:rsidRPr="002413DF">
        <w:rPr>
          <w:sz w:val="24"/>
          <w:szCs w:val="24"/>
        </w:rPr>
        <w:t>.</w:t>
      </w:r>
    </w:p>
    <w:p w14:paraId="5549D2EC" w14:textId="12C9616F" w:rsidR="00DF5934" w:rsidRDefault="00616031" w:rsidP="00616031">
      <w:pPr>
        <w:ind w:firstLine="450"/>
        <w:jc w:val="both"/>
        <w:rPr>
          <w:b/>
          <w:sz w:val="24"/>
          <w:szCs w:val="24"/>
        </w:rPr>
      </w:pPr>
      <w:proofErr w:type="spellStart"/>
      <w:proofErr w:type="gramStart"/>
      <w:r>
        <w:rPr>
          <w:sz w:val="24"/>
          <w:szCs w:val="24"/>
        </w:rPr>
        <w:t>Dalam</w:t>
      </w:r>
      <w:proofErr w:type="spellEnd"/>
      <w:r>
        <w:rPr>
          <w:sz w:val="24"/>
          <w:szCs w:val="24"/>
        </w:rPr>
        <w:t xml:space="preserve"> </w:t>
      </w:r>
      <w:r w:rsidRPr="00E55EF8">
        <w:rPr>
          <w:sz w:val="24"/>
          <w:szCs w:val="24"/>
        </w:rPr>
        <w:t xml:space="preserve"> </w:t>
      </w:r>
      <w:proofErr w:type="spellStart"/>
      <w:r w:rsidRPr="00E55EF8">
        <w:rPr>
          <w:sz w:val="24"/>
          <w:szCs w:val="24"/>
        </w:rPr>
        <w:t>eksperimen</w:t>
      </w:r>
      <w:proofErr w:type="spellEnd"/>
      <w:proofErr w:type="gramEnd"/>
      <w:r w:rsidRPr="00E55EF8">
        <w:rPr>
          <w:sz w:val="24"/>
          <w:szCs w:val="24"/>
        </w:rPr>
        <w:t xml:space="preserve"> </w:t>
      </w:r>
      <w:proofErr w:type="spellStart"/>
      <w:r w:rsidRPr="00E55EF8">
        <w:rPr>
          <w:sz w:val="24"/>
          <w:szCs w:val="24"/>
        </w:rPr>
        <w:t>ini</w:t>
      </w:r>
      <w:proofErr w:type="spellEnd"/>
      <w:r w:rsidRPr="00E55EF8">
        <w:rPr>
          <w:sz w:val="24"/>
          <w:szCs w:val="24"/>
        </w:rPr>
        <w:t xml:space="preserve"> </w:t>
      </w:r>
      <w:proofErr w:type="spellStart"/>
      <w:r w:rsidRPr="00E55EF8">
        <w:rPr>
          <w:sz w:val="24"/>
          <w:szCs w:val="24"/>
        </w:rPr>
        <w:t>hanya</w:t>
      </w:r>
      <w:proofErr w:type="spellEnd"/>
      <w:r w:rsidRPr="00E55EF8">
        <w:rPr>
          <w:sz w:val="24"/>
          <w:szCs w:val="24"/>
        </w:rPr>
        <w:t xml:space="preserve"> rata-rata </w:t>
      </w:r>
      <w:proofErr w:type="spellStart"/>
      <w:r w:rsidRPr="00E55EF8">
        <w:rPr>
          <w:sz w:val="24"/>
          <w:szCs w:val="24"/>
        </w:rPr>
        <w:t>penurunan</w:t>
      </w:r>
      <w:proofErr w:type="spellEnd"/>
      <w:r w:rsidRPr="00E55EF8">
        <w:rPr>
          <w:sz w:val="24"/>
          <w:szCs w:val="24"/>
        </w:rPr>
        <w:t xml:space="preserve"> </w:t>
      </w:r>
      <w:proofErr w:type="spellStart"/>
      <w:r w:rsidRPr="00E55EF8">
        <w:rPr>
          <w:sz w:val="24"/>
          <w:szCs w:val="24"/>
        </w:rPr>
        <w:t>kadar</w:t>
      </w:r>
      <w:proofErr w:type="spellEnd"/>
      <w:r w:rsidRPr="00E55EF8">
        <w:rPr>
          <w:sz w:val="24"/>
          <w:szCs w:val="24"/>
        </w:rPr>
        <w:t xml:space="preserve"> </w:t>
      </w:r>
      <w:proofErr w:type="spellStart"/>
      <w:r w:rsidRPr="00E55EF8">
        <w:rPr>
          <w:sz w:val="24"/>
          <w:szCs w:val="24"/>
        </w:rPr>
        <w:t>glukosa</w:t>
      </w:r>
      <w:proofErr w:type="spellEnd"/>
      <w:r w:rsidRPr="00E55EF8">
        <w:rPr>
          <w:sz w:val="24"/>
          <w:szCs w:val="24"/>
        </w:rPr>
        <w:t xml:space="preserve"> </w:t>
      </w:r>
      <w:proofErr w:type="spellStart"/>
      <w:r w:rsidRPr="00E55EF8">
        <w:rPr>
          <w:sz w:val="24"/>
          <w:szCs w:val="24"/>
        </w:rPr>
        <w:t>darah</w:t>
      </w:r>
      <w:proofErr w:type="spellEnd"/>
      <w:r w:rsidRPr="00E55EF8">
        <w:rPr>
          <w:sz w:val="24"/>
          <w:szCs w:val="24"/>
        </w:rPr>
        <w:t xml:space="preserve"> </w:t>
      </w:r>
      <w:proofErr w:type="spellStart"/>
      <w:r w:rsidRPr="00E55EF8">
        <w:rPr>
          <w:sz w:val="24"/>
          <w:szCs w:val="24"/>
        </w:rPr>
        <w:t>mencit</w:t>
      </w:r>
      <w:proofErr w:type="spellEnd"/>
      <w:r w:rsidRPr="00E55EF8">
        <w:rPr>
          <w:sz w:val="24"/>
          <w:szCs w:val="24"/>
        </w:rPr>
        <w:t xml:space="preserve"> </w:t>
      </w:r>
      <w:proofErr w:type="spellStart"/>
      <w:r w:rsidRPr="00E55EF8">
        <w:rPr>
          <w:sz w:val="24"/>
          <w:szCs w:val="24"/>
        </w:rPr>
        <w:t>Kombi</w:t>
      </w:r>
      <w:r>
        <w:rPr>
          <w:sz w:val="24"/>
          <w:szCs w:val="24"/>
        </w:rPr>
        <w:t>nasi</w:t>
      </w:r>
      <w:proofErr w:type="spellEnd"/>
      <w:r>
        <w:rPr>
          <w:sz w:val="24"/>
          <w:szCs w:val="24"/>
        </w:rPr>
        <w:t xml:space="preserve"> </w:t>
      </w:r>
      <w:proofErr w:type="spellStart"/>
      <w:r>
        <w:rPr>
          <w:sz w:val="24"/>
          <w:szCs w:val="24"/>
        </w:rPr>
        <w:t>Dapaglifozin</w:t>
      </w:r>
      <w:proofErr w:type="spellEnd"/>
      <w:r>
        <w:rPr>
          <w:sz w:val="24"/>
          <w:szCs w:val="24"/>
        </w:rPr>
        <w:t xml:space="preserve"> + </w:t>
      </w:r>
      <w:proofErr w:type="spellStart"/>
      <w:r>
        <w:rPr>
          <w:sz w:val="24"/>
          <w:szCs w:val="24"/>
        </w:rPr>
        <w:t>saxagliptin</w:t>
      </w:r>
      <w:proofErr w:type="spellEnd"/>
      <w:r>
        <w:rPr>
          <w:sz w:val="24"/>
          <w:szCs w:val="24"/>
        </w:rPr>
        <w:t xml:space="preserve"> + metformin </w:t>
      </w:r>
      <w:proofErr w:type="spellStart"/>
      <w:r>
        <w:rPr>
          <w:sz w:val="24"/>
          <w:szCs w:val="24"/>
        </w:rPr>
        <w:t>saja</w:t>
      </w:r>
      <w:proofErr w:type="spellEnd"/>
      <w:r>
        <w:rPr>
          <w:sz w:val="24"/>
          <w:szCs w:val="24"/>
        </w:rPr>
        <w:t xml:space="preserve"> </w:t>
      </w:r>
      <w:proofErr w:type="spellStart"/>
      <w:r>
        <w:rPr>
          <w:sz w:val="24"/>
          <w:szCs w:val="24"/>
        </w:rPr>
        <w:t>penurunanya</w:t>
      </w:r>
      <w:proofErr w:type="spellEnd"/>
      <w:r>
        <w:rPr>
          <w:sz w:val="24"/>
          <w:szCs w:val="24"/>
        </w:rPr>
        <w:t xml:space="preserve"> </w:t>
      </w:r>
      <w:proofErr w:type="spellStart"/>
      <w:r>
        <w:rPr>
          <w:sz w:val="24"/>
          <w:szCs w:val="24"/>
        </w:rPr>
        <w:t>signifikan</w:t>
      </w:r>
      <w:proofErr w:type="spellEnd"/>
      <w:r>
        <w:rPr>
          <w:sz w:val="24"/>
          <w:szCs w:val="24"/>
        </w:rPr>
        <w:t xml:space="preserve">. </w:t>
      </w:r>
      <w:proofErr w:type="spellStart"/>
      <w:r w:rsidRPr="00E55EF8">
        <w:rPr>
          <w:sz w:val="24"/>
          <w:szCs w:val="24"/>
        </w:rPr>
        <w:t>Dengan</w:t>
      </w:r>
      <w:proofErr w:type="spellEnd"/>
      <w:r w:rsidRPr="00E55EF8">
        <w:rPr>
          <w:sz w:val="24"/>
          <w:szCs w:val="24"/>
        </w:rPr>
        <w:t xml:space="preserve"> </w:t>
      </w:r>
      <w:proofErr w:type="spellStart"/>
      <w:r w:rsidRPr="00E55EF8">
        <w:rPr>
          <w:sz w:val="24"/>
          <w:szCs w:val="24"/>
        </w:rPr>
        <w:t>demikian</w:t>
      </w:r>
      <w:proofErr w:type="spellEnd"/>
      <w:r w:rsidRPr="00E55EF8">
        <w:rPr>
          <w:sz w:val="24"/>
          <w:szCs w:val="24"/>
        </w:rPr>
        <w:t xml:space="preserve">, variable </w:t>
      </w:r>
      <w:proofErr w:type="spellStart"/>
      <w:r w:rsidRPr="00E55EF8">
        <w:rPr>
          <w:sz w:val="24"/>
          <w:szCs w:val="24"/>
        </w:rPr>
        <w:t>kombinasi</w:t>
      </w:r>
      <w:proofErr w:type="spellEnd"/>
      <w:r w:rsidRPr="00E55EF8">
        <w:rPr>
          <w:sz w:val="24"/>
          <w:szCs w:val="24"/>
        </w:rPr>
        <w:t xml:space="preserve"> </w:t>
      </w:r>
      <w:proofErr w:type="spellStart"/>
      <w:r w:rsidRPr="00E55EF8">
        <w:rPr>
          <w:sz w:val="24"/>
          <w:szCs w:val="24"/>
        </w:rPr>
        <w:t>obat</w:t>
      </w:r>
      <w:proofErr w:type="spellEnd"/>
      <w:r w:rsidRPr="00E55EF8">
        <w:rPr>
          <w:sz w:val="24"/>
          <w:szCs w:val="24"/>
        </w:rPr>
        <w:t xml:space="preserve"> </w:t>
      </w:r>
      <w:proofErr w:type="spellStart"/>
      <w:r w:rsidRPr="00E55EF8">
        <w:rPr>
          <w:sz w:val="24"/>
          <w:szCs w:val="24"/>
        </w:rPr>
        <w:t>hanya</w:t>
      </w:r>
      <w:proofErr w:type="spellEnd"/>
      <w:r w:rsidRPr="00E55EF8">
        <w:rPr>
          <w:sz w:val="24"/>
          <w:szCs w:val="24"/>
        </w:rPr>
        <w:t xml:space="preserve"> </w:t>
      </w:r>
      <w:proofErr w:type="spellStart"/>
      <w:r w:rsidRPr="00E55EF8">
        <w:rPr>
          <w:sz w:val="24"/>
          <w:szCs w:val="24"/>
        </w:rPr>
        <w:t>berpengaruh</w:t>
      </w:r>
      <w:proofErr w:type="spellEnd"/>
      <w:r w:rsidRPr="00E55EF8">
        <w:rPr>
          <w:sz w:val="24"/>
          <w:szCs w:val="24"/>
        </w:rPr>
        <w:t xml:space="preserve"> </w:t>
      </w:r>
      <w:proofErr w:type="spellStart"/>
      <w:r w:rsidRPr="00E55EF8">
        <w:rPr>
          <w:sz w:val="24"/>
          <w:szCs w:val="24"/>
        </w:rPr>
        <w:t>secara</w:t>
      </w:r>
      <w:proofErr w:type="spellEnd"/>
      <w:r w:rsidRPr="00E55EF8">
        <w:rPr>
          <w:sz w:val="24"/>
          <w:szCs w:val="24"/>
        </w:rPr>
        <w:t xml:space="preserve"> </w:t>
      </w:r>
      <w:proofErr w:type="spellStart"/>
      <w:r w:rsidRPr="00E55EF8">
        <w:rPr>
          <w:sz w:val="24"/>
          <w:szCs w:val="24"/>
        </w:rPr>
        <w:t>signifikan</w:t>
      </w:r>
      <w:proofErr w:type="spellEnd"/>
      <w:r w:rsidRPr="00E55EF8">
        <w:rPr>
          <w:sz w:val="24"/>
          <w:szCs w:val="24"/>
        </w:rPr>
        <w:t xml:space="preserve"> </w:t>
      </w:r>
      <w:proofErr w:type="spellStart"/>
      <w:r w:rsidRPr="00E55EF8">
        <w:rPr>
          <w:sz w:val="24"/>
          <w:szCs w:val="24"/>
        </w:rPr>
        <w:t>terhadap</w:t>
      </w:r>
      <w:proofErr w:type="spellEnd"/>
      <w:r w:rsidRPr="00E55EF8">
        <w:rPr>
          <w:sz w:val="24"/>
          <w:szCs w:val="24"/>
        </w:rPr>
        <w:t xml:space="preserve"> rata-rata </w:t>
      </w:r>
      <w:proofErr w:type="spellStart"/>
      <w:r w:rsidRPr="00E55EF8">
        <w:rPr>
          <w:sz w:val="24"/>
          <w:szCs w:val="24"/>
        </w:rPr>
        <w:t>penurunan</w:t>
      </w:r>
      <w:proofErr w:type="spellEnd"/>
      <w:r w:rsidRPr="00E55EF8">
        <w:rPr>
          <w:sz w:val="24"/>
          <w:szCs w:val="24"/>
        </w:rPr>
        <w:t xml:space="preserve"> </w:t>
      </w:r>
      <w:proofErr w:type="spellStart"/>
      <w:r w:rsidRPr="00E55EF8">
        <w:rPr>
          <w:sz w:val="24"/>
          <w:szCs w:val="24"/>
        </w:rPr>
        <w:t>kadar</w:t>
      </w:r>
      <w:proofErr w:type="spellEnd"/>
      <w:r w:rsidRPr="00E55EF8">
        <w:rPr>
          <w:sz w:val="24"/>
          <w:szCs w:val="24"/>
        </w:rPr>
        <w:t xml:space="preserve"> </w:t>
      </w:r>
      <w:proofErr w:type="spellStart"/>
      <w:r w:rsidRPr="00E55EF8">
        <w:rPr>
          <w:sz w:val="24"/>
          <w:szCs w:val="24"/>
        </w:rPr>
        <w:t>glukosa</w:t>
      </w:r>
      <w:proofErr w:type="spellEnd"/>
      <w:r w:rsidRPr="00E55EF8">
        <w:rPr>
          <w:sz w:val="24"/>
          <w:szCs w:val="24"/>
        </w:rPr>
        <w:t xml:space="preserve"> </w:t>
      </w:r>
      <w:proofErr w:type="spellStart"/>
      <w:r w:rsidRPr="00E55EF8">
        <w:rPr>
          <w:sz w:val="24"/>
          <w:szCs w:val="24"/>
        </w:rPr>
        <w:t>darah</w:t>
      </w:r>
      <w:proofErr w:type="spellEnd"/>
      <w:r w:rsidRPr="00E55EF8">
        <w:rPr>
          <w:sz w:val="24"/>
          <w:szCs w:val="24"/>
        </w:rPr>
        <w:t xml:space="preserve"> </w:t>
      </w:r>
      <w:proofErr w:type="spellStart"/>
      <w:r w:rsidRPr="00E55EF8">
        <w:rPr>
          <w:sz w:val="24"/>
          <w:szCs w:val="24"/>
        </w:rPr>
        <w:t>mencit</w:t>
      </w:r>
      <w:proofErr w:type="spellEnd"/>
      <w:r w:rsidRPr="00E55EF8">
        <w:rPr>
          <w:sz w:val="24"/>
          <w:szCs w:val="24"/>
        </w:rPr>
        <w:t xml:space="preserve"> </w:t>
      </w:r>
      <w:proofErr w:type="spellStart"/>
      <w:r w:rsidRPr="00E55EF8">
        <w:rPr>
          <w:sz w:val="24"/>
          <w:szCs w:val="24"/>
        </w:rPr>
        <w:t>Kombina</w:t>
      </w:r>
      <w:r>
        <w:rPr>
          <w:sz w:val="24"/>
          <w:szCs w:val="24"/>
        </w:rPr>
        <w:t>si</w:t>
      </w:r>
      <w:proofErr w:type="spellEnd"/>
      <w:r>
        <w:rPr>
          <w:sz w:val="24"/>
          <w:szCs w:val="24"/>
        </w:rPr>
        <w:t xml:space="preserve"> </w:t>
      </w:r>
      <w:proofErr w:type="spellStart"/>
      <w:r>
        <w:rPr>
          <w:sz w:val="24"/>
          <w:szCs w:val="24"/>
        </w:rPr>
        <w:t>Dapaglifozine</w:t>
      </w:r>
      <w:proofErr w:type="spellEnd"/>
      <w:r>
        <w:rPr>
          <w:sz w:val="24"/>
          <w:szCs w:val="24"/>
        </w:rPr>
        <w:t xml:space="preserve"> +</w:t>
      </w:r>
      <w:proofErr w:type="spellStart"/>
      <w:r>
        <w:rPr>
          <w:sz w:val="24"/>
          <w:szCs w:val="24"/>
        </w:rPr>
        <w:t>saxagiptin</w:t>
      </w:r>
      <w:proofErr w:type="spellEnd"/>
      <w:r>
        <w:rPr>
          <w:sz w:val="24"/>
          <w:szCs w:val="24"/>
        </w:rPr>
        <w:t xml:space="preserve">+ metformin. </w:t>
      </w:r>
      <w:proofErr w:type="spellStart"/>
      <w:r>
        <w:rPr>
          <w:sz w:val="24"/>
          <w:szCs w:val="24"/>
        </w:rPr>
        <w:t>Dikarenakan</w:t>
      </w:r>
      <w:proofErr w:type="spellEnd"/>
      <w:r>
        <w:rPr>
          <w:sz w:val="24"/>
          <w:szCs w:val="24"/>
        </w:rPr>
        <w:t xml:space="preserve"> </w:t>
      </w:r>
      <w:proofErr w:type="spellStart"/>
      <w:r>
        <w:rPr>
          <w:sz w:val="24"/>
          <w:szCs w:val="24"/>
        </w:rPr>
        <w:t>Mekanisme</w:t>
      </w:r>
      <w:proofErr w:type="spellEnd"/>
      <w:r>
        <w:rPr>
          <w:sz w:val="24"/>
          <w:szCs w:val="24"/>
        </w:rPr>
        <w:t xml:space="preserve"> </w:t>
      </w:r>
      <w:proofErr w:type="spellStart"/>
      <w:r>
        <w:rPr>
          <w:sz w:val="24"/>
          <w:szCs w:val="24"/>
        </w:rPr>
        <w:t>kerja</w:t>
      </w:r>
      <w:proofErr w:type="spellEnd"/>
      <w:r>
        <w:rPr>
          <w:sz w:val="24"/>
          <w:szCs w:val="24"/>
        </w:rPr>
        <w:t xml:space="preserve"> </w:t>
      </w:r>
      <w:proofErr w:type="spellStart"/>
      <w:r>
        <w:rPr>
          <w:sz w:val="24"/>
          <w:szCs w:val="24"/>
        </w:rPr>
        <w:t>obat</w:t>
      </w:r>
      <w:proofErr w:type="spellEnd"/>
      <w:r>
        <w:rPr>
          <w:sz w:val="24"/>
          <w:szCs w:val="24"/>
        </w:rPr>
        <w:t xml:space="preserve"> dapagliflozin, metformin dan </w:t>
      </w:r>
      <w:proofErr w:type="spellStart"/>
      <w:r>
        <w:rPr>
          <w:sz w:val="24"/>
          <w:szCs w:val="24"/>
        </w:rPr>
        <w:t>saxaglitpin</w:t>
      </w:r>
      <w:proofErr w:type="spellEnd"/>
      <w:r>
        <w:rPr>
          <w:sz w:val="24"/>
          <w:szCs w:val="24"/>
        </w:rPr>
        <w:t xml:space="preserve"> </w:t>
      </w:r>
      <w:proofErr w:type="spellStart"/>
      <w:r>
        <w:rPr>
          <w:sz w:val="24"/>
          <w:szCs w:val="24"/>
        </w:rPr>
        <w:t>berbeda</w:t>
      </w:r>
      <w:proofErr w:type="spellEnd"/>
      <w:r>
        <w:rPr>
          <w:sz w:val="24"/>
          <w:szCs w:val="24"/>
        </w:rPr>
        <w:t xml:space="preserve"> </w:t>
      </w:r>
      <w:proofErr w:type="spellStart"/>
      <w:r>
        <w:rPr>
          <w:sz w:val="24"/>
          <w:szCs w:val="24"/>
        </w:rPr>
        <w:t>tempat</w:t>
      </w:r>
      <w:proofErr w:type="spellEnd"/>
      <w:r>
        <w:rPr>
          <w:sz w:val="24"/>
          <w:szCs w:val="24"/>
        </w:rPr>
        <w:t xml:space="preserve"> </w:t>
      </w:r>
      <w:proofErr w:type="spellStart"/>
      <w:r>
        <w:rPr>
          <w:sz w:val="24"/>
          <w:szCs w:val="24"/>
        </w:rPr>
        <w:t>kerjanya</w:t>
      </w:r>
      <w:proofErr w:type="spellEnd"/>
      <w:r>
        <w:rPr>
          <w:sz w:val="24"/>
          <w:szCs w:val="24"/>
        </w:rPr>
        <w:t xml:space="preserve">. Dapagliflozin </w:t>
      </w:r>
      <w:proofErr w:type="spellStart"/>
      <w:r>
        <w:rPr>
          <w:sz w:val="24"/>
          <w:szCs w:val="24"/>
        </w:rPr>
        <w:t>bekerja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menghambat</w:t>
      </w:r>
      <w:proofErr w:type="spellEnd"/>
      <w:r>
        <w:rPr>
          <w:sz w:val="24"/>
          <w:szCs w:val="24"/>
        </w:rPr>
        <w:t xml:space="preserve"> </w:t>
      </w:r>
      <w:r>
        <w:rPr>
          <w:i/>
          <w:sz w:val="24"/>
          <w:szCs w:val="24"/>
        </w:rPr>
        <w:t xml:space="preserve">sodium glucose contransporter-2 </w:t>
      </w:r>
      <w:r>
        <w:rPr>
          <w:sz w:val="24"/>
          <w:szCs w:val="24"/>
        </w:rPr>
        <w:t xml:space="preserve">di </w:t>
      </w:r>
      <w:proofErr w:type="spellStart"/>
      <w:r>
        <w:rPr>
          <w:sz w:val="24"/>
          <w:szCs w:val="24"/>
        </w:rPr>
        <w:t>tubulus</w:t>
      </w:r>
      <w:proofErr w:type="spellEnd"/>
      <w:r>
        <w:rPr>
          <w:sz w:val="24"/>
          <w:szCs w:val="24"/>
        </w:rPr>
        <w:t xml:space="preserve"> </w:t>
      </w:r>
      <w:proofErr w:type="spellStart"/>
      <w:r>
        <w:rPr>
          <w:sz w:val="24"/>
          <w:szCs w:val="24"/>
        </w:rPr>
        <w:t>proksimal</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menyebabkan</w:t>
      </w:r>
      <w:proofErr w:type="spellEnd"/>
      <w:r>
        <w:rPr>
          <w:sz w:val="24"/>
          <w:szCs w:val="24"/>
        </w:rPr>
        <w:t xml:space="preserve"> </w:t>
      </w:r>
      <w:proofErr w:type="spellStart"/>
      <w:r>
        <w:rPr>
          <w:sz w:val="24"/>
          <w:szCs w:val="24"/>
        </w:rPr>
        <w:t>penurunan</w:t>
      </w:r>
      <w:proofErr w:type="spellEnd"/>
      <w:r>
        <w:rPr>
          <w:sz w:val="24"/>
          <w:szCs w:val="24"/>
        </w:rPr>
        <w:t xml:space="preserve"> </w:t>
      </w:r>
      <w:proofErr w:type="spellStart"/>
      <w:r>
        <w:rPr>
          <w:sz w:val="24"/>
          <w:szCs w:val="24"/>
        </w:rPr>
        <w:t>glukosa</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sekresi</w:t>
      </w:r>
      <w:proofErr w:type="spellEnd"/>
      <w:r>
        <w:rPr>
          <w:sz w:val="24"/>
          <w:szCs w:val="24"/>
        </w:rPr>
        <w:t xml:space="preserve"> </w:t>
      </w:r>
      <w:proofErr w:type="spellStart"/>
      <w:r>
        <w:rPr>
          <w:sz w:val="24"/>
          <w:szCs w:val="24"/>
        </w:rPr>
        <w:t>urin</w:t>
      </w:r>
      <w:proofErr w:type="spellEnd"/>
      <w:r>
        <w:rPr>
          <w:sz w:val="24"/>
          <w:szCs w:val="24"/>
        </w:rPr>
        <w:t xml:space="preserve">. Metformin </w:t>
      </w:r>
      <w:proofErr w:type="spellStart"/>
      <w:r>
        <w:rPr>
          <w:sz w:val="24"/>
          <w:szCs w:val="24"/>
        </w:rPr>
        <w:t>bekerja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menurunkan</w:t>
      </w:r>
      <w:proofErr w:type="spellEnd"/>
      <w:r>
        <w:rPr>
          <w:sz w:val="24"/>
          <w:szCs w:val="24"/>
        </w:rPr>
        <w:t xml:space="preserve"> </w:t>
      </w:r>
      <w:proofErr w:type="spellStart"/>
      <w:r>
        <w:rPr>
          <w:sz w:val="24"/>
          <w:szCs w:val="24"/>
        </w:rPr>
        <w:t>glukosa</w:t>
      </w:r>
      <w:proofErr w:type="spellEnd"/>
      <w:r>
        <w:rPr>
          <w:sz w:val="24"/>
          <w:szCs w:val="24"/>
        </w:rPr>
        <w:t xml:space="preserve"> </w:t>
      </w:r>
      <w:proofErr w:type="spellStart"/>
      <w:r>
        <w:rPr>
          <w:sz w:val="24"/>
          <w:szCs w:val="24"/>
        </w:rPr>
        <w:t>dihati</w:t>
      </w:r>
      <w:proofErr w:type="spellEnd"/>
      <w:r>
        <w:rPr>
          <w:sz w:val="24"/>
          <w:szCs w:val="24"/>
        </w:rPr>
        <w:t xml:space="preserve">. </w:t>
      </w:r>
      <w:proofErr w:type="spellStart"/>
      <w:r>
        <w:rPr>
          <w:sz w:val="24"/>
          <w:szCs w:val="24"/>
        </w:rPr>
        <w:t>Sedangkan</w:t>
      </w:r>
      <w:proofErr w:type="spellEnd"/>
      <w:r>
        <w:rPr>
          <w:sz w:val="24"/>
          <w:szCs w:val="24"/>
        </w:rPr>
        <w:t xml:space="preserve"> </w:t>
      </w:r>
      <w:proofErr w:type="spellStart"/>
      <w:r>
        <w:rPr>
          <w:sz w:val="24"/>
          <w:szCs w:val="24"/>
        </w:rPr>
        <w:t>saxagliptin</w:t>
      </w:r>
      <w:proofErr w:type="spellEnd"/>
      <w:r>
        <w:rPr>
          <w:sz w:val="24"/>
          <w:szCs w:val="24"/>
        </w:rPr>
        <w:t xml:space="preserve"> </w:t>
      </w:r>
      <w:proofErr w:type="spellStart"/>
      <w:r>
        <w:rPr>
          <w:sz w:val="24"/>
          <w:szCs w:val="24"/>
        </w:rPr>
        <w:t>memperpanjangan</w:t>
      </w:r>
      <w:proofErr w:type="spellEnd"/>
      <w:r>
        <w:rPr>
          <w:sz w:val="24"/>
          <w:szCs w:val="24"/>
        </w:rPr>
        <w:t xml:space="preserve"> </w:t>
      </w:r>
      <w:proofErr w:type="spellStart"/>
      <w:r>
        <w:rPr>
          <w:sz w:val="24"/>
          <w:szCs w:val="24"/>
        </w:rPr>
        <w:t>penyerapan</w:t>
      </w:r>
      <w:proofErr w:type="spellEnd"/>
      <w:r>
        <w:rPr>
          <w:sz w:val="24"/>
          <w:szCs w:val="24"/>
        </w:rPr>
        <w:t xml:space="preserve"> insulin </w:t>
      </w:r>
      <w:proofErr w:type="spellStart"/>
      <w:r>
        <w:rPr>
          <w:sz w:val="24"/>
          <w:szCs w:val="24"/>
        </w:rPr>
        <w:t>dipencernaan</w:t>
      </w:r>
      <w:proofErr w:type="spellEnd"/>
      <w:r>
        <w:rPr>
          <w:sz w:val="24"/>
          <w:szCs w:val="24"/>
        </w:rPr>
        <w:t xml:space="preserve"> yang </w:t>
      </w:r>
      <w:proofErr w:type="spellStart"/>
      <w:r>
        <w:rPr>
          <w:sz w:val="24"/>
          <w:szCs w:val="24"/>
        </w:rPr>
        <w:t>nanti</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melibatkan</w:t>
      </w:r>
      <w:proofErr w:type="spellEnd"/>
      <w:r>
        <w:rPr>
          <w:sz w:val="24"/>
          <w:szCs w:val="24"/>
        </w:rPr>
        <w:t xml:space="preserve"> GLUT 2. Oleh </w:t>
      </w:r>
      <w:proofErr w:type="spellStart"/>
      <w:r>
        <w:rPr>
          <w:sz w:val="24"/>
          <w:szCs w:val="24"/>
        </w:rPr>
        <w:t>karena</w:t>
      </w:r>
      <w:proofErr w:type="spellEnd"/>
      <w:r>
        <w:rPr>
          <w:sz w:val="24"/>
          <w:szCs w:val="24"/>
        </w:rPr>
        <w:t xml:space="preserve"> </w:t>
      </w:r>
      <w:proofErr w:type="spellStart"/>
      <w:r>
        <w:rPr>
          <w:sz w:val="24"/>
          <w:szCs w:val="24"/>
        </w:rPr>
        <w:t>itu</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mekanisme</w:t>
      </w:r>
      <w:proofErr w:type="spellEnd"/>
      <w:r>
        <w:rPr>
          <w:sz w:val="24"/>
          <w:szCs w:val="24"/>
        </w:rPr>
        <w:t xml:space="preserve"> yang </w:t>
      </w:r>
      <w:proofErr w:type="spellStart"/>
      <w:r>
        <w:rPr>
          <w:sz w:val="24"/>
          <w:szCs w:val="24"/>
        </w:rPr>
        <w:t>berbeda</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menghasilkan</w:t>
      </w:r>
      <w:proofErr w:type="spellEnd"/>
      <w:r>
        <w:rPr>
          <w:sz w:val="24"/>
          <w:szCs w:val="24"/>
        </w:rPr>
        <w:t xml:space="preserve"> </w:t>
      </w:r>
      <w:proofErr w:type="spellStart"/>
      <w:r>
        <w:rPr>
          <w:sz w:val="24"/>
          <w:szCs w:val="24"/>
        </w:rPr>
        <w:t>penurunan</w:t>
      </w:r>
      <w:proofErr w:type="spellEnd"/>
      <w:r>
        <w:rPr>
          <w:sz w:val="24"/>
          <w:szCs w:val="24"/>
        </w:rPr>
        <w:t xml:space="preserve"> </w:t>
      </w:r>
      <w:proofErr w:type="spellStart"/>
      <w:r>
        <w:rPr>
          <w:sz w:val="24"/>
          <w:szCs w:val="24"/>
        </w:rPr>
        <w:t>glukosa</w:t>
      </w:r>
      <w:proofErr w:type="spellEnd"/>
      <w:r>
        <w:rPr>
          <w:sz w:val="24"/>
          <w:szCs w:val="24"/>
        </w:rPr>
        <w:t xml:space="preserve"> yang optimal </w:t>
      </w:r>
      <w:r>
        <w:rPr>
          <w:b/>
          <w:sz w:val="24"/>
          <w:szCs w:val="24"/>
        </w:rPr>
        <w:fldChar w:fldCharType="begin" w:fldLock="1"/>
      </w:r>
      <w:r>
        <w:rPr>
          <w:sz w:val="24"/>
          <w:szCs w:val="24"/>
        </w:rPr>
        <w:instrText>ADDIN CSL_CITATION {"citationItems":[{"id":"ITEM-1","itemData":{"DOI":"10.1111/ijcp.12937","ISSN":"17421241","PMID":"28440009","abstract":"Aims: Sodium-glucose co-transporter type 2 (SGLT2) inhibitors are a new class of anti-hyperglycaemic agents in type 2 diabetes mellitus (T2DM). This review examines their mechanism of action and provides an overview of safety and efficacy from the main studies of SGLT2 inhibitors marketed in the United States and Europe, namely, canagliflozin, dapagliflozin and empagliflozin. Methods: We searched the PubMed database to identify relevant publications on the mechanism of action of SGLT2 inhibitors and clinical trial reports. Results: Clinical trials in patients with T2DM have shown significant improvements in glycaemic control vs placebo with canagliflozin, dapagliflozin and empagliflozin: patients were more likely to reach target glycated haemoglobin levels compared with patients receiving placebo. All SGLT2 inhibitors also led to modest reductions in body weight and blood pressure vs placebo. Generally, all agents were well tolerated, with the most common adverse events with this class being genital mycotic infections and urinary tract infections. Hypoglycaemia was reported at rates similar to those seen with placebo, except when SGLT2 inhibitors were given in combination with insulin or an insulin secretagogue. Long-term outcome data are available only for empagliflozin: in the EMPA-REG OUTCOME study, empagliflozin demonstrated reduced risk of the composite end-point of 3-point major adverse cardiovascular events (cardiovascular death, non-fatal myocardial infarction or non-fatal stroke), primarily because of a significant reduction in cardiovascular mortality. Conclusions: SGLT2 inhibitors are an exciting addition to the list of available agents for T2DM, and may be suitable for various types of patients who need additional glycaemic control.","author":[{"dropping-particle":"","family":"Paresh","given":"D","non-dropping-particle":"","parse-names":false,"suffix":""},{"dropping-particle":"","family":"Chaudhuri","given":"A","non-dropping-particle":"","parse-names":false,"suffix":""}],"container-title":"International Journal of Clinical Practice","id":"ITEM-1","issue":"5","issued":{"date-parts":[["2017"]]},"page":"1-14","title":"Sodium-glucose co-transporter 2 inhibitors for type 2 diabetes mellitus: An overview for the primary care physician","type":"article-journal","volume":"71"},"uris":["http://www.mendeley.com/documents/?uuid=c04ff7d5-4ea6-461f-a6ac-36aa90cbfdd8"]},{"id":"ITEM-2","itemData":{"DOI":"10.1016/j.cmet.2015.01.003","ISSN":"19327420","PMID":"25651170","abstract":"Metformin has been used for nearly a century and is now the most widely prescribed oral anti-diabetic agent worldwide. Yet how metformin acts remains only partially understood and controversial. One key reason may be that almost all previous studies were conducted with supra-pharmacological concentrations (doses) of metformin, 10-100 times higher than maximally achievable therapeutic concentrations found in patients with type 2 diabetes mellitus.","author":[{"dropping-particle":"","family":"He","given":"Ling","non-dropping-particle":"","parse-names":false,"suffix":""},{"dropping-particle":"","family":"Wondisford","given":"Fredric E.","non-dropping-particle":"","parse-names":false,"suffix":""}],"container-title":"Cell Metabolism","id":"ITEM-2","issue":"2","issued":{"date-parts":[["2015"]]},"page":"159-162","publisher":"Elsevier Inc.","title":"Metformin action: Concentrations matter","type":"article-journal","volume":"21"},"uris":["http://www.mendeley.com/documents/?uuid=44da9d33-e11c-4f56-b174-31d3aeebc357"]},{"id":"ITEM-3","itemData":{"DOI":"10.1016/j.molmet.2019.09.010","ISSN":"22128778","PMID":"31767182","abstract":"Background: The glucagon-like peptide-1 (GLP-1) is a multifaceted hormone with broad pharmacological potential. Among the numerous metabolic effects of GLP-1 are the glucose-dependent stimulation of insulin secretion, decrease of gastric emptying, inhibition of food intake, increase of natriuresis and diuresis, and modulation of rodent β-cell proliferation. GLP-1 also has cardio- and neuroprotective effects, decreases inflammation and apoptosis, and has implications for learning and memory, reward behavior, and palatability. Biochemically modified for enhanced potency and sustained action, GLP-1 receptor agonists are successfully in clinical use for the treatment of type-2 diabetes, and several GLP-1-based pharmacotherapies are in clinical evaluation for the treatment of obesity. Scope of review: In this review, we provide a detailed overview on the multifaceted nature of GLP-1 and its pharmacology and discuss its therapeutic implications on various diseases. Major conclusions: Since its discovery, GLP-1 has emerged as a pleiotropic hormone with a myriad of metabolic functions that go well beyond its classical identification as an incretin hormone. The numerous beneficial effects of GLP-1 render this hormone an interesting candidate for the development of pharmacotherapies to treat obesity, diabetes, and neurodegenerative disorders","author":[{"dropping-particle":"","family":"Muller","given":"T. D.","non-dropping-particle":"","parse-names":false,"suffix":""},{"dropping-particle":"","family":"Finan","given":"B.","non-dropping-particle":"","parse-names":false,"suffix":""},{"dropping-particle":"","family":"Bloom","given":"S. R.","non-dropping-particle":"","parse-names":false,"suffix":""},{"dropping-particle":"","family":"D'Alessio","given":"D.","non-dropping-particle":"","parse-names":false,"suffix":""},{"dropping-particle":"","family":"Drucker","given":"D. J.","non-dropping-particle":"","parse-names":false,"suffix":""},{"dropping-particle":"","family":"Flatt","given":"P. R.","non-dropping-particle":"","parse-names":false,"suffix":""},{"dropping-particle":"","family":"Fritsche","given":"A.","non-dropping-particle":"","parse-names":false,"suffix":""},{"dropping-particle":"","family":"Gribble","given":"F.","non-dropping-particle":"","parse-names":false,"suffix":""},{"dropping-particle":"","family":"Grill","given":"H. J.","non-dropping-particle":"","parse-names":false,"suffix":""},{"dropping-particle":"","family":"Habener","given":"J. F.","non-dropping-particle":"","parse-names":false,"suffix":""},{"dropping-particle":"","family":"Holst","given":"J. J.","non-dropping-particle":"","parse-names":false,"suffix":""},{"dropping-particle":"","family":"Langhans","given":"W.","non-dropping-particle":"","parse-names":false,"suffix":""},{"dropping-particle":"","family":"Meier","given":"J. J.","non-dropping-particle":"","parse-names":false,"suffix":""},{"dropping-particle":"","family":"Nauck","given":"M. A.","non-dropping-particle":"","parse-names":false,"suffix":""},{"dropping-particle":"","family":"Perez-Tilve","given":"D.","non-dropping-particle":"","parse-names":false,"suffix":""},{"dropping-particle":"","family":"Pocai","given":"A.","non-dropping-particle":"","parse-names":false,"suffix":""},{"dropping-particle":"","family":"Reimann","given":"F.","non-dropping-particle":"","parse-names":false,"suffix":""},{"dropping-particle":"","family":"Sandoval","given":"D. A.","non-dropping-particle":"","parse-names":false,"suffix":""},{"dropping-particle":"","family":"Schwartz","given":"T. W.","non-dropping-particle":"","parse-names":false,"suffix":""},{"dropping-particle":"","family":"Seeley","given":"R. J.","non-dropping-particle":"","parse-names":false,"suffix":""},{"dropping-particle":"","family":"Stemmer","given":"K.","non-dropping-particle":"","parse-names":false,"suffix":""},{"dropping-particle":"","family":"Tang-Christensen","given":"M.","non-dropping-particle":"","parse-names":false,"suffix":""},{"dropping-particle":"","family":"Woods","given":"S. C.","non-dropping-particle":"","parse-names":false,"suffix":""},{"dropping-particle":"","family":"DiMarchi","given":"R. D.","non-dropping-particle":"","parse-names":false,"suffix":""},{"dropping-particle":"","family":"Tschöp","given":"M. H.","non-dropping-particle":"","parse-names":false,"suffix":""}],"container-title":"Molecular Metabolism","id":"ITEM-3","issued":{"date-parts":[["2019"]]},"page":"72-130","publisher":"Elsevier GmbH","title":"Glucagon-like peptide 1 (GLP-1)","type":"article-journal","volume":"30"},"uris":["http://www.mendeley.com/documents/?uuid=e8d3dba7-5ada-4cac-a06d-fa33de52beb9"]}],"mendeley":{"formattedCitation":"(Paresh and Chaudhuri, 2017; He and Wondisford, 2015; Muller &lt;i&gt;et al.&lt;/i&gt;, 2019)","plainTextFormattedCitation":"(Paresh and Chaudhuri, 2017; He and Wondisford, 2015; Muller et al., 2019)","previouslyFormattedCitation":"(5,11,15)"},"properties":{"noteIndex":0},"schema":"https://github.com/citation-style-language/schema/raw/master/csl-citation.json"}</w:instrText>
      </w:r>
      <w:r>
        <w:rPr>
          <w:b/>
          <w:sz w:val="24"/>
          <w:szCs w:val="24"/>
        </w:rPr>
        <w:fldChar w:fldCharType="separate"/>
      </w:r>
      <w:r w:rsidRPr="00DA390C">
        <w:rPr>
          <w:noProof/>
          <w:sz w:val="24"/>
          <w:szCs w:val="24"/>
        </w:rPr>
        <w:t xml:space="preserve">(Paresh and Chaudhuri, 2017; He and Wondisford, 2015; Muller </w:t>
      </w:r>
      <w:r w:rsidRPr="00DA390C">
        <w:rPr>
          <w:i/>
          <w:noProof/>
          <w:sz w:val="24"/>
          <w:szCs w:val="24"/>
        </w:rPr>
        <w:t>et al.</w:t>
      </w:r>
      <w:r w:rsidRPr="00DA390C">
        <w:rPr>
          <w:noProof/>
          <w:sz w:val="24"/>
          <w:szCs w:val="24"/>
        </w:rPr>
        <w:t>, 2019)</w:t>
      </w:r>
      <w:r>
        <w:rPr>
          <w:b/>
          <w:sz w:val="24"/>
          <w:szCs w:val="24"/>
        </w:rPr>
        <w:fldChar w:fldCharType="end"/>
      </w:r>
      <w:r>
        <w:rPr>
          <w:b/>
          <w:sz w:val="24"/>
          <w:szCs w:val="24"/>
        </w:rPr>
        <w:t>.</w:t>
      </w:r>
    </w:p>
    <w:p w14:paraId="52AB8889" w14:textId="77777777" w:rsidR="00616031" w:rsidRPr="00616031" w:rsidRDefault="00616031" w:rsidP="00616031">
      <w:pPr>
        <w:ind w:firstLine="450"/>
        <w:jc w:val="both"/>
        <w:rPr>
          <w:b/>
          <w:sz w:val="24"/>
          <w:szCs w:val="24"/>
        </w:rPr>
      </w:pPr>
    </w:p>
    <w:p w14:paraId="0C2D93EF" w14:textId="77777777" w:rsidR="00DF5934" w:rsidRPr="00117C31" w:rsidRDefault="00DF5934" w:rsidP="00652550">
      <w:pPr>
        <w:pStyle w:val="Sub-Heading"/>
        <w:spacing w:after="0"/>
      </w:pPr>
      <w:r w:rsidRPr="00117C31">
        <w:t>KESIMPULAN</w:t>
      </w:r>
      <w:r w:rsidR="00BB1926">
        <w:t xml:space="preserve"> (CONCLUSIONS)</w:t>
      </w:r>
    </w:p>
    <w:p w14:paraId="3C5865D5" w14:textId="77777777" w:rsidR="00616031" w:rsidRDefault="00616031" w:rsidP="00616031">
      <w:pPr>
        <w:jc w:val="both"/>
        <w:rPr>
          <w:sz w:val="24"/>
          <w:szCs w:val="24"/>
        </w:rPr>
      </w:pPr>
      <w:r>
        <w:rPr>
          <w:sz w:val="24"/>
          <w:szCs w:val="24"/>
        </w:rPr>
        <w:t xml:space="preserve">       </w:t>
      </w:r>
      <w:r w:rsidRPr="00616031">
        <w:rPr>
          <w:sz w:val="24"/>
          <w:szCs w:val="24"/>
        </w:rPr>
        <w:t xml:space="preserve">Hasil </w:t>
      </w:r>
      <w:proofErr w:type="spellStart"/>
      <w:r w:rsidRPr="00616031">
        <w:rPr>
          <w:sz w:val="24"/>
          <w:szCs w:val="24"/>
        </w:rPr>
        <w:t>penelitian</w:t>
      </w:r>
      <w:proofErr w:type="spellEnd"/>
      <w:r w:rsidRPr="00616031">
        <w:rPr>
          <w:sz w:val="24"/>
          <w:szCs w:val="24"/>
        </w:rPr>
        <w:t xml:space="preserve"> </w:t>
      </w:r>
      <w:proofErr w:type="spellStart"/>
      <w:r w:rsidRPr="00616031">
        <w:rPr>
          <w:sz w:val="24"/>
          <w:szCs w:val="24"/>
        </w:rPr>
        <w:t>ini</w:t>
      </w:r>
      <w:proofErr w:type="spellEnd"/>
      <w:r w:rsidRPr="00616031">
        <w:rPr>
          <w:sz w:val="24"/>
          <w:szCs w:val="24"/>
        </w:rPr>
        <w:t xml:space="preserve"> </w:t>
      </w:r>
      <w:proofErr w:type="spellStart"/>
      <w:r w:rsidRPr="00616031">
        <w:rPr>
          <w:sz w:val="24"/>
          <w:szCs w:val="24"/>
        </w:rPr>
        <w:t>menunjukkan</w:t>
      </w:r>
      <w:proofErr w:type="spellEnd"/>
      <w:r w:rsidRPr="00616031">
        <w:rPr>
          <w:sz w:val="24"/>
          <w:szCs w:val="24"/>
        </w:rPr>
        <w:t xml:space="preserve"> </w:t>
      </w:r>
      <w:proofErr w:type="spellStart"/>
      <w:r w:rsidRPr="00616031">
        <w:rPr>
          <w:sz w:val="24"/>
          <w:szCs w:val="24"/>
        </w:rPr>
        <w:t>bahwa</w:t>
      </w:r>
      <w:proofErr w:type="spellEnd"/>
      <w:r w:rsidRPr="00616031">
        <w:rPr>
          <w:sz w:val="24"/>
          <w:szCs w:val="24"/>
        </w:rPr>
        <w:t xml:space="preserve"> </w:t>
      </w:r>
      <w:proofErr w:type="spellStart"/>
      <w:r w:rsidRPr="00616031">
        <w:rPr>
          <w:sz w:val="24"/>
          <w:szCs w:val="24"/>
        </w:rPr>
        <w:t>dari</w:t>
      </w:r>
      <w:proofErr w:type="spellEnd"/>
      <w:r w:rsidRPr="00616031">
        <w:rPr>
          <w:sz w:val="24"/>
          <w:szCs w:val="24"/>
        </w:rPr>
        <w:t xml:space="preserve"> </w:t>
      </w:r>
      <w:proofErr w:type="spellStart"/>
      <w:r w:rsidRPr="00616031">
        <w:rPr>
          <w:sz w:val="24"/>
          <w:szCs w:val="24"/>
        </w:rPr>
        <w:t>terapi</w:t>
      </w:r>
      <w:proofErr w:type="spellEnd"/>
      <w:r w:rsidRPr="00616031">
        <w:rPr>
          <w:sz w:val="24"/>
          <w:szCs w:val="24"/>
        </w:rPr>
        <w:t xml:space="preserve"> yang </w:t>
      </w:r>
      <w:proofErr w:type="spellStart"/>
      <w:r w:rsidRPr="00616031">
        <w:rPr>
          <w:sz w:val="24"/>
          <w:szCs w:val="24"/>
        </w:rPr>
        <w:t>telah</w:t>
      </w:r>
      <w:proofErr w:type="spellEnd"/>
      <w:r w:rsidRPr="00616031">
        <w:rPr>
          <w:sz w:val="24"/>
          <w:szCs w:val="24"/>
        </w:rPr>
        <w:t xml:space="preserve"> </w:t>
      </w:r>
      <w:proofErr w:type="spellStart"/>
      <w:r w:rsidRPr="00616031">
        <w:rPr>
          <w:sz w:val="24"/>
          <w:szCs w:val="24"/>
        </w:rPr>
        <w:t>dilaksanakan</w:t>
      </w:r>
      <w:proofErr w:type="spellEnd"/>
      <w:r w:rsidRPr="00616031">
        <w:rPr>
          <w:sz w:val="24"/>
          <w:szCs w:val="24"/>
        </w:rPr>
        <w:t xml:space="preserve">, </w:t>
      </w:r>
      <w:proofErr w:type="spellStart"/>
      <w:r w:rsidRPr="00616031">
        <w:rPr>
          <w:sz w:val="24"/>
          <w:szCs w:val="24"/>
        </w:rPr>
        <w:t>pemberian</w:t>
      </w:r>
      <w:proofErr w:type="spellEnd"/>
      <w:r w:rsidRPr="00616031">
        <w:rPr>
          <w:sz w:val="24"/>
          <w:szCs w:val="24"/>
        </w:rPr>
        <w:t xml:space="preserve"> dapagliflozin </w:t>
      </w:r>
      <w:proofErr w:type="spellStart"/>
      <w:r w:rsidRPr="00616031">
        <w:rPr>
          <w:sz w:val="24"/>
          <w:szCs w:val="24"/>
        </w:rPr>
        <w:t>tunggal</w:t>
      </w:r>
      <w:proofErr w:type="spellEnd"/>
      <w:r w:rsidRPr="00616031">
        <w:rPr>
          <w:sz w:val="24"/>
          <w:szCs w:val="24"/>
        </w:rPr>
        <w:t xml:space="preserve"> </w:t>
      </w:r>
      <w:proofErr w:type="spellStart"/>
      <w:r w:rsidRPr="00616031">
        <w:rPr>
          <w:sz w:val="24"/>
          <w:szCs w:val="24"/>
        </w:rPr>
        <w:t>menunjukan</w:t>
      </w:r>
      <w:proofErr w:type="spellEnd"/>
      <w:r w:rsidRPr="00616031">
        <w:rPr>
          <w:sz w:val="24"/>
          <w:szCs w:val="24"/>
        </w:rPr>
        <w:t xml:space="preserve"> </w:t>
      </w:r>
      <w:proofErr w:type="spellStart"/>
      <w:r w:rsidRPr="00616031">
        <w:rPr>
          <w:sz w:val="24"/>
          <w:szCs w:val="24"/>
        </w:rPr>
        <w:t>adanya</w:t>
      </w:r>
      <w:proofErr w:type="spellEnd"/>
      <w:r w:rsidRPr="00616031">
        <w:rPr>
          <w:sz w:val="24"/>
          <w:szCs w:val="24"/>
        </w:rPr>
        <w:t xml:space="preserve"> </w:t>
      </w:r>
      <w:proofErr w:type="spellStart"/>
      <w:r w:rsidRPr="00616031">
        <w:rPr>
          <w:sz w:val="24"/>
          <w:szCs w:val="24"/>
        </w:rPr>
        <w:t>penuruan</w:t>
      </w:r>
      <w:proofErr w:type="spellEnd"/>
      <w:r w:rsidRPr="00616031">
        <w:rPr>
          <w:sz w:val="24"/>
          <w:szCs w:val="24"/>
        </w:rPr>
        <w:t xml:space="preserve"> </w:t>
      </w:r>
      <w:proofErr w:type="spellStart"/>
      <w:r w:rsidRPr="00616031">
        <w:rPr>
          <w:sz w:val="24"/>
          <w:szCs w:val="24"/>
        </w:rPr>
        <w:t>kadar</w:t>
      </w:r>
      <w:proofErr w:type="spellEnd"/>
      <w:r w:rsidRPr="00616031">
        <w:rPr>
          <w:sz w:val="24"/>
          <w:szCs w:val="24"/>
        </w:rPr>
        <w:t xml:space="preserve"> gula </w:t>
      </w:r>
      <w:proofErr w:type="spellStart"/>
      <w:r w:rsidRPr="00616031">
        <w:rPr>
          <w:sz w:val="24"/>
          <w:szCs w:val="24"/>
        </w:rPr>
        <w:t>darah</w:t>
      </w:r>
      <w:proofErr w:type="spellEnd"/>
      <w:r w:rsidRPr="00616031">
        <w:rPr>
          <w:sz w:val="24"/>
          <w:szCs w:val="24"/>
        </w:rPr>
        <w:t xml:space="preserve"> </w:t>
      </w:r>
      <w:proofErr w:type="spellStart"/>
      <w:r w:rsidRPr="00616031">
        <w:rPr>
          <w:sz w:val="24"/>
          <w:szCs w:val="24"/>
        </w:rPr>
        <w:t>dengan</w:t>
      </w:r>
      <w:proofErr w:type="spellEnd"/>
      <w:r w:rsidRPr="00616031">
        <w:rPr>
          <w:sz w:val="24"/>
          <w:szCs w:val="24"/>
        </w:rPr>
        <w:t xml:space="preserve"> rata-rata 147.48 ±1.94. </w:t>
      </w:r>
      <w:proofErr w:type="spellStart"/>
      <w:r w:rsidRPr="00616031">
        <w:rPr>
          <w:sz w:val="24"/>
          <w:szCs w:val="24"/>
        </w:rPr>
        <w:t>Kombinasi</w:t>
      </w:r>
      <w:proofErr w:type="spellEnd"/>
      <w:r w:rsidRPr="00616031">
        <w:rPr>
          <w:sz w:val="24"/>
          <w:szCs w:val="24"/>
        </w:rPr>
        <w:t xml:space="preserve"> </w:t>
      </w:r>
      <w:proofErr w:type="spellStart"/>
      <w:r w:rsidRPr="00616031">
        <w:rPr>
          <w:sz w:val="24"/>
          <w:szCs w:val="24"/>
        </w:rPr>
        <w:t>Dapaglifozin</w:t>
      </w:r>
      <w:proofErr w:type="spellEnd"/>
      <w:r w:rsidRPr="00616031">
        <w:rPr>
          <w:sz w:val="24"/>
          <w:szCs w:val="24"/>
        </w:rPr>
        <w:t xml:space="preserve"> </w:t>
      </w:r>
      <w:proofErr w:type="spellStart"/>
      <w:r w:rsidRPr="00616031">
        <w:rPr>
          <w:sz w:val="24"/>
          <w:szCs w:val="24"/>
        </w:rPr>
        <w:t>dengan</w:t>
      </w:r>
      <w:proofErr w:type="spellEnd"/>
      <w:r w:rsidRPr="00616031">
        <w:rPr>
          <w:sz w:val="24"/>
          <w:szCs w:val="24"/>
        </w:rPr>
        <w:t xml:space="preserve"> metformin </w:t>
      </w:r>
      <w:proofErr w:type="spellStart"/>
      <w:r w:rsidRPr="00616031">
        <w:rPr>
          <w:sz w:val="24"/>
          <w:szCs w:val="24"/>
        </w:rPr>
        <w:t>menunjukan</w:t>
      </w:r>
      <w:proofErr w:type="spellEnd"/>
      <w:r w:rsidRPr="00616031">
        <w:rPr>
          <w:sz w:val="24"/>
          <w:szCs w:val="24"/>
        </w:rPr>
        <w:t xml:space="preserve"> </w:t>
      </w:r>
      <w:proofErr w:type="spellStart"/>
      <w:r w:rsidRPr="00616031">
        <w:rPr>
          <w:sz w:val="24"/>
          <w:szCs w:val="24"/>
        </w:rPr>
        <w:t>adanya</w:t>
      </w:r>
      <w:proofErr w:type="spellEnd"/>
      <w:r w:rsidRPr="00616031">
        <w:rPr>
          <w:sz w:val="24"/>
          <w:szCs w:val="24"/>
        </w:rPr>
        <w:t xml:space="preserve"> </w:t>
      </w:r>
      <w:proofErr w:type="spellStart"/>
      <w:r w:rsidRPr="00616031">
        <w:rPr>
          <w:sz w:val="24"/>
          <w:szCs w:val="24"/>
        </w:rPr>
        <w:t>penurunan</w:t>
      </w:r>
      <w:proofErr w:type="spellEnd"/>
      <w:r w:rsidRPr="00616031">
        <w:rPr>
          <w:sz w:val="24"/>
          <w:szCs w:val="24"/>
        </w:rPr>
        <w:t xml:space="preserve"> </w:t>
      </w:r>
      <w:proofErr w:type="spellStart"/>
      <w:r w:rsidRPr="00616031">
        <w:rPr>
          <w:sz w:val="24"/>
          <w:szCs w:val="24"/>
        </w:rPr>
        <w:t>kadar</w:t>
      </w:r>
      <w:proofErr w:type="spellEnd"/>
      <w:r w:rsidRPr="00616031">
        <w:rPr>
          <w:sz w:val="24"/>
          <w:szCs w:val="24"/>
        </w:rPr>
        <w:t xml:space="preserve"> gula </w:t>
      </w:r>
      <w:proofErr w:type="spellStart"/>
      <w:r w:rsidRPr="00616031">
        <w:rPr>
          <w:sz w:val="24"/>
          <w:szCs w:val="24"/>
        </w:rPr>
        <w:t>darah</w:t>
      </w:r>
      <w:proofErr w:type="spellEnd"/>
      <w:r w:rsidRPr="00616031">
        <w:rPr>
          <w:sz w:val="24"/>
          <w:szCs w:val="24"/>
        </w:rPr>
        <w:t xml:space="preserve"> </w:t>
      </w:r>
      <w:proofErr w:type="spellStart"/>
      <w:r w:rsidRPr="00616031">
        <w:rPr>
          <w:sz w:val="24"/>
          <w:szCs w:val="24"/>
        </w:rPr>
        <w:t>dengan</w:t>
      </w:r>
      <w:proofErr w:type="spellEnd"/>
      <w:r w:rsidRPr="00616031">
        <w:rPr>
          <w:sz w:val="24"/>
          <w:szCs w:val="24"/>
        </w:rPr>
        <w:t xml:space="preserve"> rata-rata 132.40 ±1.67. </w:t>
      </w:r>
      <w:proofErr w:type="spellStart"/>
      <w:r w:rsidRPr="00616031">
        <w:rPr>
          <w:sz w:val="24"/>
          <w:szCs w:val="24"/>
        </w:rPr>
        <w:t>Kombinasi</w:t>
      </w:r>
      <w:proofErr w:type="spellEnd"/>
      <w:r w:rsidRPr="00616031">
        <w:rPr>
          <w:sz w:val="24"/>
          <w:szCs w:val="24"/>
        </w:rPr>
        <w:t xml:space="preserve"> </w:t>
      </w:r>
      <w:proofErr w:type="spellStart"/>
      <w:r w:rsidRPr="00616031">
        <w:rPr>
          <w:sz w:val="24"/>
          <w:szCs w:val="24"/>
        </w:rPr>
        <w:t>Dapaglifozin</w:t>
      </w:r>
      <w:proofErr w:type="spellEnd"/>
      <w:r w:rsidRPr="00616031">
        <w:rPr>
          <w:sz w:val="24"/>
          <w:szCs w:val="24"/>
        </w:rPr>
        <w:t xml:space="preserve"> </w:t>
      </w:r>
      <w:proofErr w:type="spellStart"/>
      <w:r w:rsidRPr="00616031">
        <w:rPr>
          <w:sz w:val="24"/>
          <w:szCs w:val="24"/>
        </w:rPr>
        <w:t>dengan</w:t>
      </w:r>
      <w:proofErr w:type="spellEnd"/>
      <w:r w:rsidRPr="00616031">
        <w:rPr>
          <w:sz w:val="24"/>
          <w:szCs w:val="24"/>
        </w:rPr>
        <w:t xml:space="preserve"> </w:t>
      </w:r>
      <w:proofErr w:type="spellStart"/>
      <w:r w:rsidRPr="00616031">
        <w:rPr>
          <w:sz w:val="24"/>
          <w:szCs w:val="24"/>
        </w:rPr>
        <w:t>saxagliptin</w:t>
      </w:r>
      <w:proofErr w:type="spellEnd"/>
      <w:r w:rsidRPr="00616031">
        <w:rPr>
          <w:sz w:val="24"/>
          <w:szCs w:val="24"/>
        </w:rPr>
        <w:t xml:space="preserve"> </w:t>
      </w:r>
      <w:proofErr w:type="spellStart"/>
      <w:r w:rsidRPr="00616031">
        <w:rPr>
          <w:sz w:val="24"/>
          <w:szCs w:val="24"/>
        </w:rPr>
        <w:t>menunjukan</w:t>
      </w:r>
      <w:proofErr w:type="spellEnd"/>
      <w:r w:rsidRPr="00616031">
        <w:rPr>
          <w:sz w:val="24"/>
          <w:szCs w:val="24"/>
        </w:rPr>
        <w:t xml:space="preserve"> </w:t>
      </w:r>
      <w:proofErr w:type="spellStart"/>
      <w:r w:rsidRPr="00616031">
        <w:rPr>
          <w:sz w:val="24"/>
          <w:szCs w:val="24"/>
        </w:rPr>
        <w:t>adanya</w:t>
      </w:r>
      <w:proofErr w:type="spellEnd"/>
      <w:r w:rsidRPr="00616031">
        <w:rPr>
          <w:sz w:val="24"/>
          <w:szCs w:val="24"/>
        </w:rPr>
        <w:t xml:space="preserve"> </w:t>
      </w:r>
      <w:proofErr w:type="spellStart"/>
      <w:r w:rsidRPr="00616031">
        <w:rPr>
          <w:sz w:val="24"/>
          <w:szCs w:val="24"/>
        </w:rPr>
        <w:t>penurunan</w:t>
      </w:r>
      <w:proofErr w:type="spellEnd"/>
      <w:r w:rsidRPr="00616031">
        <w:rPr>
          <w:sz w:val="24"/>
          <w:szCs w:val="24"/>
        </w:rPr>
        <w:t xml:space="preserve"> </w:t>
      </w:r>
      <w:proofErr w:type="spellStart"/>
      <w:r w:rsidRPr="00616031">
        <w:rPr>
          <w:sz w:val="24"/>
          <w:szCs w:val="24"/>
        </w:rPr>
        <w:t>kadar</w:t>
      </w:r>
      <w:proofErr w:type="spellEnd"/>
      <w:r w:rsidRPr="00616031">
        <w:rPr>
          <w:sz w:val="24"/>
          <w:szCs w:val="24"/>
        </w:rPr>
        <w:t xml:space="preserve"> gula </w:t>
      </w:r>
      <w:proofErr w:type="spellStart"/>
      <w:r w:rsidRPr="00616031">
        <w:rPr>
          <w:sz w:val="24"/>
          <w:szCs w:val="24"/>
        </w:rPr>
        <w:t>darah</w:t>
      </w:r>
      <w:proofErr w:type="spellEnd"/>
      <w:r w:rsidRPr="00616031">
        <w:rPr>
          <w:sz w:val="24"/>
          <w:szCs w:val="24"/>
        </w:rPr>
        <w:t xml:space="preserve"> </w:t>
      </w:r>
      <w:proofErr w:type="spellStart"/>
      <w:r w:rsidRPr="00616031">
        <w:rPr>
          <w:sz w:val="24"/>
          <w:szCs w:val="24"/>
        </w:rPr>
        <w:t>dengan</w:t>
      </w:r>
      <w:proofErr w:type="spellEnd"/>
      <w:r w:rsidRPr="00616031">
        <w:rPr>
          <w:sz w:val="24"/>
          <w:szCs w:val="24"/>
        </w:rPr>
        <w:t xml:space="preserve"> rata-rata 138.40 ±2.24. </w:t>
      </w:r>
      <w:proofErr w:type="spellStart"/>
      <w:r w:rsidRPr="00616031">
        <w:rPr>
          <w:sz w:val="24"/>
          <w:szCs w:val="24"/>
        </w:rPr>
        <w:t>Kombinasi</w:t>
      </w:r>
      <w:proofErr w:type="spellEnd"/>
      <w:r w:rsidRPr="00616031">
        <w:rPr>
          <w:sz w:val="24"/>
          <w:szCs w:val="24"/>
        </w:rPr>
        <w:t xml:space="preserve"> </w:t>
      </w:r>
      <w:proofErr w:type="spellStart"/>
      <w:r w:rsidRPr="00616031">
        <w:rPr>
          <w:sz w:val="24"/>
          <w:szCs w:val="24"/>
        </w:rPr>
        <w:t>Dapaglifozin</w:t>
      </w:r>
      <w:proofErr w:type="spellEnd"/>
      <w:r w:rsidRPr="00616031">
        <w:rPr>
          <w:sz w:val="24"/>
          <w:szCs w:val="24"/>
        </w:rPr>
        <w:t xml:space="preserve"> </w:t>
      </w:r>
      <w:proofErr w:type="spellStart"/>
      <w:r w:rsidRPr="00616031">
        <w:rPr>
          <w:sz w:val="24"/>
          <w:szCs w:val="24"/>
        </w:rPr>
        <w:t>dengan</w:t>
      </w:r>
      <w:proofErr w:type="spellEnd"/>
      <w:r w:rsidRPr="00616031">
        <w:rPr>
          <w:sz w:val="24"/>
          <w:szCs w:val="24"/>
        </w:rPr>
        <w:t xml:space="preserve"> </w:t>
      </w:r>
      <w:proofErr w:type="spellStart"/>
      <w:r w:rsidRPr="00616031">
        <w:rPr>
          <w:sz w:val="24"/>
          <w:szCs w:val="24"/>
        </w:rPr>
        <w:t>glimepirid</w:t>
      </w:r>
      <w:proofErr w:type="spellEnd"/>
      <w:r w:rsidRPr="00616031">
        <w:rPr>
          <w:sz w:val="24"/>
          <w:szCs w:val="24"/>
        </w:rPr>
        <w:t xml:space="preserve"> </w:t>
      </w:r>
      <w:proofErr w:type="spellStart"/>
      <w:r w:rsidRPr="00616031">
        <w:rPr>
          <w:sz w:val="24"/>
          <w:szCs w:val="24"/>
        </w:rPr>
        <w:t>menunjukan</w:t>
      </w:r>
      <w:proofErr w:type="spellEnd"/>
      <w:r w:rsidRPr="00616031">
        <w:rPr>
          <w:sz w:val="24"/>
          <w:szCs w:val="24"/>
        </w:rPr>
        <w:t xml:space="preserve"> </w:t>
      </w:r>
      <w:proofErr w:type="spellStart"/>
      <w:r w:rsidRPr="00616031">
        <w:rPr>
          <w:sz w:val="24"/>
          <w:szCs w:val="24"/>
        </w:rPr>
        <w:t>adanya</w:t>
      </w:r>
      <w:proofErr w:type="spellEnd"/>
      <w:r w:rsidRPr="00616031">
        <w:rPr>
          <w:sz w:val="24"/>
          <w:szCs w:val="24"/>
        </w:rPr>
        <w:t xml:space="preserve"> </w:t>
      </w:r>
      <w:proofErr w:type="spellStart"/>
      <w:r w:rsidRPr="00616031">
        <w:rPr>
          <w:sz w:val="24"/>
          <w:szCs w:val="24"/>
        </w:rPr>
        <w:t>penurunan</w:t>
      </w:r>
      <w:proofErr w:type="spellEnd"/>
      <w:r w:rsidRPr="00616031">
        <w:rPr>
          <w:sz w:val="24"/>
          <w:szCs w:val="24"/>
        </w:rPr>
        <w:t xml:space="preserve"> </w:t>
      </w:r>
      <w:proofErr w:type="spellStart"/>
      <w:r w:rsidRPr="00616031">
        <w:rPr>
          <w:sz w:val="24"/>
          <w:szCs w:val="24"/>
        </w:rPr>
        <w:t>kadar</w:t>
      </w:r>
      <w:proofErr w:type="spellEnd"/>
      <w:r w:rsidRPr="00616031">
        <w:rPr>
          <w:sz w:val="24"/>
          <w:szCs w:val="24"/>
        </w:rPr>
        <w:t xml:space="preserve"> gula </w:t>
      </w:r>
      <w:proofErr w:type="spellStart"/>
      <w:r w:rsidRPr="00616031">
        <w:rPr>
          <w:sz w:val="24"/>
          <w:szCs w:val="24"/>
        </w:rPr>
        <w:t>darah</w:t>
      </w:r>
      <w:proofErr w:type="spellEnd"/>
      <w:r w:rsidRPr="00616031">
        <w:rPr>
          <w:sz w:val="24"/>
          <w:szCs w:val="24"/>
        </w:rPr>
        <w:t xml:space="preserve"> </w:t>
      </w:r>
      <w:proofErr w:type="spellStart"/>
      <w:r w:rsidRPr="00616031">
        <w:rPr>
          <w:sz w:val="24"/>
          <w:szCs w:val="24"/>
        </w:rPr>
        <w:t>dengan</w:t>
      </w:r>
      <w:proofErr w:type="spellEnd"/>
      <w:r w:rsidRPr="00616031">
        <w:rPr>
          <w:sz w:val="24"/>
          <w:szCs w:val="24"/>
        </w:rPr>
        <w:t xml:space="preserve"> rata-rata 145.08 ±4.66. Pada </w:t>
      </w:r>
      <w:proofErr w:type="spellStart"/>
      <w:r w:rsidRPr="00616031">
        <w:rPr>
          <w:sz w:val="24"/>
          <w:szCs w:val="24"/>
        </w:rPr>
        <w:t>kombinasi</w:t>
      </w:r>
      <w:proofErr w:type="spellEnd"/>
      <w:r w:rsidRPr="00616031">
        <w:rPr>
          <w:sz w:val="24"/>
          <w:szCs w:val="24"/>
        </w:rPr>
        <w:t xml:space="preserve"> </w:t>
      </w:r>
      <w:proofErr w:type="spellStart"/>
      <w:r w:rsidRPr="00616031">
        <w:rPr>
          <w:sz w:val="24"/>
          <w:szCs w:val="24"/>
        </w:rPr>
        <w:t>terapi</w:t>
      </w:r>
      <w:proofErr w:type="spellEnd"/>
      <w:r w:rsidRPr="00616031">
        <w:rPr>
          <w:sz w:val="24"/>
          <w:szCs w:val="24"/>
        </w:rPr>
        <w:t xml:space="preserve"> </w:t>
      </w:r>
      <w:proofErr w:type="spellStart"/>
      <w:r w:rsidRPr="00616031">
        <w:rPr>
          <w:sz w:val="24"/>
          <w:szCs w:val="24"/>
        </w:rPr>
        <w:t>dapaglifozin</w:t>
      </w:r>
      <w:proofErr w:type="spellEnd"/>
      <w:r w:rsidRPr="00616031">
        <w:rPr>
          <w:sz w:val="24"/>
          <w:szCs w:val="24"/>
        </w:rPr>
        <w:t xml:space="preserve">, metformin dan </w:t>
      </w:r>
      <w:proofErr w:type="spellStart"/>
      <w:r w:rsidRPr="00616031">
        <w:rPr>
          <w:sz w:val="24"/>
          <w:szCs w:val="24"/>
        </w:rPr>
        <w:t>saxagliptin</w:t>
      </w:r>
      <w:proofErr w:type="spellEnd"/>
      <w:r w:rsidRPr="00616031">
        <w:rPr>
          <w:sz w:val="24"/>
          <w:szCs w:val="24"/>
        </w:rPr>
        <w:t xml:space="preserve"> </w:t>
      </w:r>
      <w:proofErr w:type="spellStart"/>
      <w:r w:rsidRPr="00616031">
        <w:rPr>
          <w:sz w:val="24"/>
          <w:szCs w:val="24"/>
        </w:rPr>
        <w:t>menunjukan</w:t>
      </w:r>
      <w:proofErr w:type="spellEnd"/>
      <w:r w:rsidRPr="00616031">
        <w:rPr>
          <w:sz w:val="24"/>
          <w:szCs w:val="24"/>
        </w:rPr>
        <w:t xml:space="preserve"> </w:t>
      </w:r>
      <w:proofErr w:type="spellStart"/>
      <w:r w:rsidRPr="00616031">
        <w:rPr>
          <w:sz w:val="24"/>
          <w:szCs w:val="24"/>
        </w:rPr>
        <w:t>efektivitas</w:t>
      </w:r>
      <w:proofErr w:type="spellEnd"/>
      <w:r w:rsidRPr="00616031">
        <w:rPr>
          <w:sz w:val="24"/>
          <w:szCs w:val="24"/>
        </w:rPr>
        <w:t xml:space="preserve"> </w:t>
      </w:r>
      <w:proofErr w:type="spellStart"/>
      <w:r w:rsidRPr="00616031">
        <w:rPr>
          <w:sz w:val="24"/>
          <w:szCs w:val="24"/>
        </w:rPr>
        <w:t>penurunan</w:t>
      </w:r>
      <w:proofErr w:type="spellEnd"/>
      <w:r w:rsidRPr="00616031">
        <w:rPr>
          <w:sz w:val="24"/>
          <w:szCs w:val="24"/>
        </w:rPr>
        <w:t xml:space="preserve"> </w:t>
      </w:r>
      <w:proofErr w:type="spellStart"/>
      <w:r w:rsidRPr="00616031">
        <w:rPr>
          <w:sz w:val="24"/>
          <w:szCs w:val="24"/>
        </w:rPr>
        <w:t>kadar</w:t>
      </w:r>
      <w:proofErr w:type="spellEnd"/>
      <w:r w:rsidRPr="00616031">
        <w:rPr>
          <w:sz w:val="24"/>
          <w:szCs w:val="24"/>
        </w:rPr>
        <w:t xml:space="preserve"> </w:t>
      </w:r>
      <w:proofErr w:type="spellStart"/>
      <w:r w:rsidRPr="00616031">
        <w:rPr>
          <w:sz w:val="24"/>
          <w:szCs w:val="24"/>
        </w:rPr>
        <w:t>glukosa</w:t>
      </w:r>
      <w:proofErr w:type="spellEnd"/>
      <w:r w:rsidRPr="00616031">
        <w:rPr>
          <w:sz w:val="24"/>
          <w:szCs w:val="24"/>
        </w:rPr>
        <w:t xml:space="preserve"> </w:t>
      </w:r>
      <w:proofErr w:type="spellStart"/>
      <w:r w:rsidRPr="00616031">
        <w:rPr>
          <w:sz w:val="24"/>
          <w:szCs w:val="24"/>
        </w:rPr>
        <w:t>dengan</w:t>
      </w:r>
      <w:proofErr w:type="spellEnd"/>
      <w:r w:rsidRPr="00616031">
        <w:rPr>
          <w:sz w:val="24"/>
          <w:szCs w:val="24"/>
        </w:rPr>
        <w:t xml:space="preserve"> rata-rata 127.30 ±3.03. </w:t>
      </w:r>
    </w:p>
    <w:p w14:paraId="13492782" w14:textId="276DF5F2" w:rsidR="00E62B57" w:rsidRPr="00616031" w:rsidRDefault="00616031" w:rsidP="00616031">
      <w:pPr>
        <w:jc w:val="both"/>
        <w:rPr>
          <w:sz w:val="24"/>
          <w:szCs w:val="24"/>
        </w:rPr>
        <w:sectPr w:rsidR="00E62B57" w:rsidRPr="00616031" w:rsidSect="00325430">
          <w:type w:val="continuous"/>
          <w:pgSz w:w="11909" w:h="16834" w:code="9"/>
          <w:pgMar w:top="1440" w:right="1440" w:bottom="2016" w:left="1440" w:header="426" w:footer="720" w:gutter="0"/>
          <w:cols w:num="2" w:space="288"/>
          <w:docGrid w:linePitch="360"/>
        </w:sectPr>
      </w:pPr>
      <w:r>
        <w:rPr>
          <w:sz w:val="24"/>
          <w:szCs w:val="24"/>
        </w:rPr>
        <w:t xml:space="preserve">       </w:t>
      </w:r>
      <w:proofErr w:type="spellStart"/>
      <w:r w:rsidRPr="00616031">
        <w:rPr>
          <w:sz w:val="24"/>
          <w:szCs w:val="24"/>
        </w:rPr>
        <w:t>Sehingga</w:t>
      </w:r>
      <w:proofErr w:type="spellEnd"/>
      <w:r w:rsidRPr="00616031">
        <w:rPr>
          <w:sz w:val="24"/>
          <w:szCs w:val="24"/>
        </w:rPr>
        <w:t xml:space="preserve"> </w:t>
      </w:r>
      <w:proofErr w:type="spellStart"/>
      <w:r w:rsidRPr="00616031">
        <w:rPr>
          <w:sz w:val="24"/>
          <w:szCs w:val="24"/>
        </w:rPr>
        <w:t>kombinasi</w:t>
      </w:r>
      <w:proofErr w:type="spellEnd"/>
      <w:r w:rsidRPr="00616031">
        <w:rPr>
          <w:sz w:val="24"/>
          <w:szCs w:val="24"/>
        </w:rPr>
        <w:t xml:space="preserve"> </w:t>
      </w:r>
      <w:proofErr w:type="spellStart"/>
      <w:r w:rsidRPr="00616031">
        <w:rPr>
          <w:sz w:val="24"/>
          <w:szCs w:val="24"/>
        </w:rPr>
        <w:t>terbaik</w:t>
      </w:r>
      <w:proofErr w:type="spellEnd"/>
      <w:r w:rsidRPr="00616031">
        <w:rPr>
          <w:sz w:val="24"/>
          <w:szCs w:val="24"/>
        </w:rPr>
        <w:t xml:space="preserve"> </w:t>
      </w:r>
      <w:proofErr w:type="spellStart"/>
      <w:r w:rsidRPr="00616031">
        <w:rPr>
          <w:sz w:val="24"/>
          <w:szCs w:val="24"/>
        </w:rPr>
        <w:t>untuk</w:t>
      </w:r>
      <w:proofErr w:type="spellEnd"/>
      <w:r w:rsidRPr="00616031">
        <w:rPr>
          <w:sz w:val="24"/>
          <w:szCs w:val="24"/>
        </w:rPr>
        <w:t xml:space="preserve"> 3 </w:t>
      </w:r>
      <w:proofErr w:type="spellStart"/>
      <w:r w:rsidRPr="00616031">
        <w:rPr>
          <w:sz w:val="24"/>
          <w:szCs w:val="24"/>
        </w:rPr>
        <w:t>kombinasi</w:t>
      </w:r>
      <w:proofErr w:type="spellEnd"/>
      <w:r w:rsidRPr="00616031">
        <w:rPr>
          <w:sz w:val="24"/>
          <w:szCs w:val="24"/>
        </w:rPr>
        <w:t xml:space="preserve"> </w:t>
      </w:r>
      <w:proofErr w:type="spellStart"/>
      <w:r w:rsidRPr="00616031">
        <w:rPr>
          <w:sz w:val="24"/>
          <w:szCs w:val="24"/>
        </w:rPr>
        <w:t>obat</w:t>
      </w:r>
      <w:proofErr w:type="spellEnd"/>
      <w:r w:rsidRPr="00616031">
        <w:rPr>
          <w:sz w:val="24"/>
          <w:szCs w:val="24"/>
        </w:rPr>
        <w:t xml:space="preserve"> </w:t>
      </w:r>
      <w:proofErr w:type="spellStart"/>
      <w:r w:rsidRPr="00616031">
        <w:rPr>
          <w:sz w:val="24"/>
          <w:szCs w:val="24"/>
        </w:rPr>
        <w:t>adalah</w:t>
      </w:r>
      <w:proofErr w:type="spellEnd"/>
      <w:r w:rsidRPr="00616031">
        <w:rPr>
          <w:sz w:val="24"/>
          <w:szCs w:val="24"/>
        </w:rPr>
        <w:t xml:space="preserve"> </w:t>
      </w:r>
      <w:proofErr w:type="spellStart"/>
      <w:r w:rsidRPr="00616031">
        <w:rPr>
          <w:sz w:val="24"/>
          <w:szCs w:val="24"/>
        </w:rPr>
        <w:t>kombinasi</w:t>
      </w:r>
      <w:proofErr w:type="spellEnd"/>
      <w:r w:rsidRPr="00616031">
        <w:rPr>
          <w:sz w:val="24"/>
          <w:szCs w:val="24"/>
        </w:rPr>
        <w:t xml:space="preserve"> </w:t>
      </w:r>
      <w:proofErr w:type="spellStart"/>
      <w:r w:rsidRPr="00616031">
        <w:rPr>
          <w:sz w:val="24"/>
          <w:szCs w:val="24"/>
        </w:rPr>
        <w:t>terapi</w:t>
      </w:r>
      <w:proofErr w:type="spellEnd"/>
      <w:r w:rsidRPr="00616031">
        <w:rPr>
          <w:sz w:val="24"/>
          <w:szCs w:val="24"/>
        </w:rPr>
        <w:t xml:space="preserve"> </w:t>
      </w:r>
      <w:proofErr w:type="spellStart"/>
      <w:r w:rsidRPr="00616031">
        <w:rPr>
          <w:sz w:val="24"/>
          <w:szCs w:val="24"/>
        </w:rPr>
        <w:t>dapaglifozin</w:t>
      </w:r>
      <w:proofErr w:type="spellEnd"/>
      <w:r w:rsidRPr="00616031">
        <w:rPr>
          <w:sz w:val="24"/>
          <w:szCs w:val="24"/>
        </w:rPr>
        <w:t xml:space="preserve">, metformin dan </w:t>
      </w:r>
      <w:proofErr w:type="spellStart"/>
      <w:r w:rsidRPr="00616031">
        <w:rPr>
          <w:sz w:val="24"/>
          <w:szCs w:val="24"/>
        </w:rPr>
        <w:t>saxagliptin</w:t>
      </w:r>
      <w:proofErr w:type="spellEnd"/>
      <w:r w:rsidRPr="00616031">
        <w:rPr>
          <w:sz w:val="24"/>
          <w:szCs w:val="24"/>
        </w:rPr>
        <w:t xml:space="preserve">, </w:t>
      </w:r>
      <w:proofErr w:type="spellStart"/>
      <w:r w:rsidRPr="00616031">
        <w:rPr>
          <w:sz w:val="24"/>
          <w:szCs w:val="24"/>
        </w:rPr>
        <w:t>sedangkan</w:t>
      </w:r>
      <w:proofErr w:type="spellEnd"/>
      <w:r w:rsidRPr="00616031">
        <w:rPr>
          <w:sz w:val="24"/>
          <w:szCs w:val="24"/>
        </w:rPr>
        <w:t xml:space="preserve"> </w:t>
      </w:r>
      <w:proofErr w:type="spellStart"/>
      <w:r w:rsidRPr="00616031">
        <w:rPr>
          <w:sz w:val="24"/>
          <w:szCs w:val="24"/>
        </w:rPr>
        <w:t>kombinasi</w:t>
      </w:r>
      <w:proofErr w:type="spellEnd"/>
      <w:r w:rsidRPr="00616031">
        <w:rPr>
          <w:sz w:val="24"/>
          <w:szCs w:val="24"/>
        </w:rPr>
        <w:t xml:space="preserve"> </w:t>
      </w:r>
      <w:proofErr w:type="spellStart"/>
      <w:r w:rsidRPr="00616031">
        <w:rPr>
          <w:sz w:val="24"/>
          <w:szCs w:val="24"/>
        </w:rPr>
        <w:t>terbaik</w:t>
      </w:r>
      <w:proofErr w:type="spellEnd"/>
      <w:r w:rsidRPr="00616031">
        <w:rPr>
          <w:sz w:val="24"/>
          <w:szCs w:val="24"/>
        </w:rPr>
        <w:t xml:space="preserve"> </w:t>
      </w:r>
      <w:proofErr w:type="spellStart"/>
      <w:r w:rsidRPr="00616031">
        <w:rPr>
          <w:sz w:val="24"/>
          <w:szCs w:val="24"/>
        </w:rPr>
        <w:t>untuk</w:t>
      </w:r>
      <w:proofErr w:type="spellEnd"/>
      <w:r w:rsidRPr="00616031">
        <w:rPr>
          <w:sz w:val="24"/>
          <w:szCs w:val="24"/>
        </w:rPr>
        <w:t xml:space="preserve"> 2 </w:t>
      </w:r>
      <w:proofErr w:type="spellStart"/>
      <w:r w:rsidRPr="00616031">
        <w:rPr>
          <w:sz w:val="24"/>
          <w:szCs w:val="24"/>
        </w:rPr>
        <w:t>kombinasi</w:t>
      </w:r>
      <w:proofErr w:type="spellEnd"/>
      <w:r w:rsidRPr="00616031">
        <w:rPr>
          <w:sz w:val="24"/>
          <w:szCs w:val="24"/>
        </w:rPr>
        <w:t xml:space="preserve"> </w:t>
      </w:r>
      <w:proofErr w:type="spellStart"/>
      <w:r w:rsidRPr="00616031">
        <w:rPr>
          <w:sz w:val="24"/>
          <w:szCs w:val="24"/>
        </w:rPr>
        <w:t>obat</w:t>
      </w:r>
      <w:proofErr w:type="spellEnd"/>
      <w:r w:rsidRPr="00616031">
        <w:rPr>
          <w:sz w:val="24"/>
          <w:szCs w:val="24"/>
        </w:rPr>
        <w:t xml:space="preserve"> </w:t>
      </w:r>
      <w:proofErr w:type="spellStart"/>
      <w:r w:rsidRPr="00616031">
        <w:rPr>
          <w:sz w:val="24"/>
          <w:szCs w:val="24"/>
        </w:rPr>
        <w:t>adalah</w:t>
      </w:r>
      <w:proofErr w:type="spellEnd"/>
      <w:r w:rsidRPr="00616031">
        <w:rPr>
          <w:sz w:val="24"/>
          <w:szCs w:val="24"/>
        </w:rPr>
        <w:t xml:space="preserve"> dapagliflozin dan metformin. </w:t>
      </w:r>
      <w:proofErr w:type="spellStart"/>
      <w:r w:rsidRPr="00616031">
        <w:rPr>
          <w:sz w:val="24"/>
          <w:szCs w:val="24"/>
        </w:rPr>
        <w:t>Kedua</w:t>
      </w:r>
      <w:proofErr w:type="spellEnd"/>
      <w:r w:rsidRPr="00616031">
        <w:rPr>
          <w:sz w:val="24"/>
          <w:szCs w:val="24"/>
        </w:rPr>
        <w:t xml:space="preserve"> </w:t>
      </w:r>
      <w:proofErr w:type="spellStart"/>
      <w:r w:rsidRPr="00616031">
        <w:rPr>
          <w:sz w:val="24"/>
          <w:szCs w:val="24"/>
        </w:rPr>
        <w:t>kombinasi</w:t>
      </w:r>
      <w:proofErr w:type="spellEnd"/>
      <w:r w:rsidRPr="00616031">
        <w:rPr>
          <w:sz w:val="24"/>
          <w:szCs w:val="24"/>
        </w:rPr>
        <w:t xml:space="preserve"> </w:t>
      </w:r>
      <w:proofErr w:type="spellStart"/>
      <w:r w:rsidRPr="00616031">
        <w:rPr>
          <w:sz w:val="24"/>
          <w:szCs w:val="24"/>
        </w:rPr>
        <w:t>tersebut</w:t>
      </w:r>
      <w:proofErr w:type="spellEnd"/>
      <w:r w:rsidRPr="00616031">
        <w:rPr>
          <w:sz w:val="24"/>
          <w:szCs w:val="24"/>
        </w:rPr>
        <w:t xml:space="preserve"> </w:t>
      </w:r>
      <w:proofErr w:type="spellStart"/>
      <w:r w:rsidRPr="00616031">
        <w:rPr>
          <w:sz w:val="24"/>
          <w:szCs w:val="24"/>
        </w:rPr>
        <w:t>menunjukan</w:t>
      </w:r>
      <w:proofErr w:type="spellEnd"/>
      <w:r w:rsidRPr="00616031">
        <w:rPr>
          <w:sz w:val="24"/>
          <w:szCs w:val="24"/>
        </w:rPr>
        <w:t xml:space="preserve"> </w:t>
      </w:r>
      <w:proofErr w:type="spellStart"/>
      <w:r w:rsidRPr="00616031">
        <w:rPr>
          <w:sz w:val="24"/>
          <w:szCs w:val="24"/>
        </w:rPr>
        <w:t>efektivitas</w:t>
      </w:r>
      <w:proofErr w:type="spellEnd"/>
      <w:r w:rsidRPr="00616031">
        <w:rPr>
          <w:sz w:val="24"/>
          <w:szCs w:val="24"/>
        </w:rPr>
        <w:t xml:space="preserve"> </w:t>
      </w:r>
      <w:proofErr w:type="spellStart"/>
      <w:r w:rsidRPr="00616031">
        <w:rPr>
          <w:sz w:val="24"/>
          <w:szCs w:val="24"/>
        </w:rPr>
        <w:t>penurunan</w:t>
      </w:r>
      <w:proofErr w:type="spellEnd"/>
      <w:r w:rsidRPr="00616031">
        <w:rPr>
          <w:sz w:val="24"/>
          <w:szCs w:val="24"/>
        </w:rPr>
        <w:t xml:space="preserve"> </w:t>
      </w:r>
      <w:proofErr w:type="spellStart"/>
      <w:r w:rsidRPr="00616031">
        <w:rPr>
          <w:sz w:val="24"/>
          <w:szCs w:val="24"/>
        </w:rPr>
        <w:t>kadar</w:t>
      </w:r>
      <w:proofErr w:type="spellEnd"/>
      <w:r w:rsidRPr="00616031">
        <w:rPr>
          <w:sz w:val="24"/>
          <w:szCs w:val="24"/>
        </w:rPr>
        <w:t xml:space="preserve"> gula </w:t>
      </w:r>
      <w:proofErr w:type="spellStart"/>
      <w:r w:rsidRPr="00616031">
        <w:rPr>
          <w:sz w:val="24"/>
          <w:szCs w:val="24"/>
        </w:rPr>
        <w:t>darah</w:t>
      </w:r>
      <w:proofErr w:type="spellEnd"/>
      <w:r w:rsidRPr="00616031">
        <w:rPr>
          <w:sz w:val="24"/>
          <w:szCs w:val="24"/>
        </w:rPr>
        <w:t xml:space="preserve"> yang </w:t>
      </w:r>
      <w:proofErr w:type="spellStart"/>
      <w:r w:rsidRPr="00616031">
        <w:rPr>
          <w:sz w:val="24"/>
          <w:szCs w:val="24"/>
        </w:rPr>
        <w:t>baik</w:t>
      </w:r>
      <w:proofErr w:type="spellEnd"/>
      <w:r w:rsidRPr="00616031">
        <w:rPr>
          <w:sz w:val="24"/>
          <w:szCs w:val="24"/>
        </w:rPr>
        <w:t xml:space="preserve"> </w:t>
      </w:r>
      <w:proofErr w:type="spellStart"/>
      <w:r w:rsidRPr="00616031">
        <w:rPr>
          <w:sz w:val="24"/>
          <w:szCs w:val="24"/>
        </w:rPr>
        <w:t>dibandingkan</w:t>
      </w:r>
      <w:proofErr w:type="spellEnd"/>
      <w:r w:rsidRPr="00616031">
        <w:rPr>
          <w:sz w:val="24"/>
          <w:szCs w:val="24"/>
        </w:rPr>
        <w:t xml:space="preserve"> </w:t>
      </w:r>
      <w:proofErr w:type="spellStart"/>
      <w:r w:rsidRPr="00616031">
        <w:rPr>
          <w:sz w:val="24"/>
          <w:szCs w:val="24"/>
        </w:rPr>
        <w:t>dengan</w:t>
      </w:r>
      <w:proofErr w:type="spellEnd"/>
      <w:r w:rsidRPr="00616031">
        <w:rPr>
          <w:sz w:val="24"/>
          <w:szCs w:val="24"/>
        </w:rPr>
        <w:t xml:space="preserve"> </w:t>
      </w:r>
      <w:proofErr w:type="spellStart"/>
      <w:r w:rsidRPr="00616031">
        <w:rPr>
          <w:sz w:val="24"/>
          <w:szCs w:val="24"/>
        </w:rPr>
        <w:t>kombinasi</w:t>
      </w:r>
      <w:proofErr w:type="spellEnd"/>
      <w:r w:rsidRPr="00616031">
        <w:rPr>
          <w:sz w:val="24"/>
          <w:szCs w:val="24"/>
        </w:rPr>
        <w:t xml:space="preserve"> yang lain.</w:t>
      </w:r>
    </w:p>
    <w:p w14:paraId="787D5D25" w14:textId="77777777" w:rsidR="00933FDB" w:rsidRDefault="00933FDB" w:rsidP="00E62B57">
      <w:pPr>
        <w:pStyle w:val="FirstParagraph"/>
        <w:ind w:left="0"/>
      </w:pPr>
    </w:p>
    <w:p w14:paraId="764FA16B" w14:textId="77777777" w:rsidR="00616031" w:rsidRDefault="00616031" w:rsidP="00E62B57">
      <w:pPr>
        <w:pStyle w:val="HeadingDaftarPustaka"/>
      </w:pPr>
    </w:p>
    <w:p w14:paraId="15C70585" w14:textId="67F078BC" w:rsidR="00BB1926" w:rsidRPr="00616031" w:rsidRDefault="00E62B57" w:rsidP="00616031">
      <w:pPr>
        <w:pStyle w:val="HeadingDaftarPustaka"/>
      </w:pPr>
      <w:r w:rsidRPr="00117C31">
        <w:t>Daftar Pustaka</w:t>
      </w:r>
      <w:r w:rsidR="00BB1926" w:rsidRPr="00BB1926">
        <w:t xml:space="preserve"> </w:t>
      </w:r>
      <w:r w:rsidR="00BB1926">
        <w:t>(References)</w:t>
      </w:r>
      <w:r w:rsidRPr="00B93B3C">
        <w:rPr>
          <w:rFonts w:eastAsia="Calibri"/>
        </w:rPr>
        <w:fldChar w:fldCharType="begin" w:fldLock="1"/>
      </w:r>
      <w:r w:rsidRPr="00B93B3C">
        <w:rPr>
          <w:rFonts w:eastAsia="Calibri"/>
        </w:rPr>
        <w:instrText xml:space="preserve">ADDIN Mendeley Bibliography CSL_BIBLIOGRAPHY </w:instrText>
      </w:r>
      <w:r w:rsidRPr="00B93B3C">
        <w:rPr>
          <w:rFonts w:eastAsia="Calibri"/>
        </w:rPr>
        <w:fldChar w:fldCharType="separate"/>
      </w:r>
    </w:p>
    <w:p w14:paraId="526FE8BF" w14:textId="3EB9A52D" w:rsidR="00616031" w:rsidRDefault="00616031" w:rsidP="00616031">
      <w:pPr>
        <w:widowControl w:val="0"/>
        <w:autoSpaceDE w:val="0"/>
        <w:autoSpaceDN w:val="0"/>
        <w:adjustRightInd w:val="0"/>
        <w:spacing w:before="80"/>
        <w:ind w:left="480" w:hanging="480"/>
        <w:jc w:val="both"/>
        <w:rPr>
          <w:noProof/>
          <w:sz w:val="24"/>
          <w:szCs w:val="24"/>
        </w:rPr>
      </w:pPr>
      <w:r w:rsidRPr="00DA390C">
        <w:rPr>
          <w:noProof/>
          <w:sz w:val="24"/>
          <w:szCs w:val="24"/>
        </w:rPr>
        <w:t xml:space="preserve">Akrom, Harjanti P.D. and Armansyah T., 2014, Efek Hipoglikemik Ektrak Etanol Umbi Ketela Rambat (Ipomoea batatas P) ada Mencit Swiss Yang Diinduksi Aloksan, </w:t>
      </w:r>
      <w:r w:rsidRPr="00DA390C">
        <w:rPr>
          <w:i/>
          <w:iCs/>
          <w:noProof/>
          <w:sz w:val="24"/>
          <w:szCs w:val="24"/>
        </w:rPr>
        <w:t>Pharmaciana</w:t>
      </w:r>
      <w:r w:rsidRPr="00DA390C">
        <w:rPr>
          <w:noProof/>
          <w:sz w:val="24"/>
          <w:szCs w:val="24"/>
        </w:rPr>
        <w:t>, 4 (1), 65.</w:t>
      </w:r>
    </w:p>
    <w:p w14:paraId="5361D615" w14:textId="5FF0FAAB" w:rsidR="00616031" w:rsidRPr="00DA390C" w:rsidRDefault="00616031" w:rsidP="003057FC">
      <w:pPr>
        <w:widowControl w:val="0"/>
        <w:autoSpaceDE w:val="0"/>
        <w:autoSpaceDN w:val="0"/>
        <w:adjustRightInd w:val="0"/>
        <w:spacing w:before="80"/>
        <w:ind w:left="480" w:hanging="480"/>
        <w:jc w:val="both"/>
        <w:rPr>
          <w:b/>
          <w:noProof/>
          <w:sz w:val="24"/>
          <w:szCs w:val="24"/>
        </w:rPr>
      </w:pPr>
      <w:r w:rsidRPr="00DA390C">
        <w:rPr>
          <w:noProof/>
          <w:sz w:val="24"/>
          <w:szCs w:val="24"/>
        </w:rPr>
        <w:t xml:space="preserve">Dipiro J.., Yee G.., Posey L.., Haines S.., Nolin T.. and Ellingrod V., 2020, </w:t>
      </w:r>
      <w:r w:rsidRPr="00DA390C">
        <w:rPr>
          <w:i/>
          <w:iCs/>
          <w:noProof/>
          <w:sz w:val="24"/>
          <w:szCs w:val="24"/>
        </w:rPr>
        <w:t>Pharmacotherapy: A Pathophysiologic Approach. 11th Edition</w:t>
      </w:r>
      <w:r w:rsidRPr="00DA390C">
        <w:rPr>
          <w:noProof/>
          <w:sz w:val="24"/>
          <w:szCs w:val="24"/>
        </w:rPr>
        <w:t>, 11th ed., New york.</w:t>
      </w:r>
      <w:r w:rsidRPr="00DA390C">
        <w:rPr>
          <w:b/>
        </w:rPr>
        <w:fldChar w:fldCharType="begin" w:fldLock="1"/>
      </w:r>
      <w:r w:rsidRPr="00DA390C">
        <w:instrText xml:space="preserve">ADDIN Mendeley Bibliography CSL_BIBLIOGRAPHY </w:instrText>
      </w:r>
      <w:r w:rsidRPr="00DA390C">
        <w:rPr>
          <w:b/>
        </w:rPr>
        <w:fldChar w:fldCharType="separate"/>
      </w:r>
      <w:bookmarkStart w:id="0" w:name="_Hlk83138020"/>
      <w:bookmarkStart w:id="1" w:name="_Hlk83138044"/>
    </w:p>
    <w:p w14:paraId="2CA2F5C0" w14:textId="77777777" w:rsidR="00616031" w:rsidRPr="00DA390C" w:rsidRDefault="00616031" w:rsidP="00616031">
      <w:pPr>
        <w:widowControl w:val="0"/>
        <w:autoSpaceDE w:val="0"/>
        <w:autoSpaceDN w:val="0"/>
        <w:adjustRightInd w:val="0"/>
        <w:spacing w:before="80"/>
        <w:ind w:left="480" w:hanging="480"/>
        <w:jc w:val="both"/>
        <w:rPr>
          <w:b/>
          <w:noProof/>
          <w:sz w:val="24"/>
          <w:szCs w:val="24"/>
        </w:rPr>
      </w:pPr>
      <w:bookmarkStart w:id="2" w:name="_Hlk83138081"/>
      <w:bookmarkEnd w:id="1"/>
      <w:r w:rsidRPr="00DA390C">
        <w:rPr>
          <w:noProof/>
          <w:sz w:val="24"/>
          <w:szCs w:val="24"/>
        </w:rPr>
        <w:t>Djuwarno E.N. and Abdulkadir W., 2019, Penurunan Kadar Glukosa Mencit, , 1, 8–13.</w:t>
      </w:r>
    </w:p>
    <w:bookmarkEnd w:id="0"/>
    <w:bookmarkEnd w:id="2"/>
    <w:p w14:paraId="02BA8FCF" w14:textId="77777777" w:rsidR="00616031" w:rsidRPr="00DA390C" w:rsidRDefault="00616031" w:rsidP="00616031">
      <w:pPr>
        <w:widowControl w:val="0"/>
        <w:autoSpaceDE w:val="0"/>
        <w:autoSpaceDN w:val="0"/>
        <w:adjustRightInd w:val="0"/>
        <w:spacing w:before="80"/>
        <w:ind w:left="480" w:hanging="480"/>
        <w:jc w:val="both"/>
        <w:rPr>
          <w:b/>
          <w:noProof/>
          <w:sz w:val="24"/>
          <w:szCs w:val="24"/>
        </w:rPr>
      </w:pPr>
      <w:r w:rsidRPr="00DA390C">
        <w:rPr>
          <w:noProof/>
          <w:sz w:val="24"/>
          <w:szCs w:val="24"/>
        </w:rPr>
        <w:t xml:space="preserve">Fulcher G., Matthews D.R., Perkovic V., de Zeeuw D., Mahaffey K.W., Weiss R., Rosenstock J., Capuano G., Desai M., Shaw W., Vercruysse F., Meininger G. and Neal B., 2015, Efficacy and Safety of Canagliflozin Used in Conjunction with Sulfonylurea in Patients with Type 2 Diabetes Mellitus: A Randomized, Controlled Trial, </w:t>
      </w:r>
      <w:r w:rsidRPr="00DA390C">
        <w:rPr>
          <w:i/>
          <w:iCs/>
          <w:noProof/>
          <w:sz w:val="24"/>
          <w:szCs w:val="24"/>
        </w:rPr>
        <w:t>Diabetes Therapy</w:t>
      </w:r>
      <w:r w:rsidRPr="00DA390C">
        <w:rPr>
          <w:noProof/>
          <w:sz w:val="24"/>
          <w:szCs w:val="24"/>
        </w:rPr>
        <w:t>, 6 (3), 289–302.</w:t>
      </w:r>
    </w:p>
    <w:p w14:paraId="4A2BAF7F" w14:textId="77777777" w:rsidR="00616031" w:rsidRPr="00DA390C" w:rsidRDefault="00616031" w:rsidP="00616031">
      <w:pPr>
        <w:widowControl w:val="0"/>
        <w:autoSpaceDE w:val="0"/>
        <w:autoSpaceDN w:val="0"/>
        <w:adjustRightInd w:val="0"/>
        <w:spacing w:before="80"/>
        <w:ind w:left="480" w:hanging="480"/>
        <w:jc w:val="both"/>
        <w:rPr>
          <w:b/>
          <w:noProof/>
          <w:sz w:val="24"/>
          <w:szCs w:val="24"/>
        </w:rPr>
      </w:pPr>
      <w:r w:rsidRPr="00DA390C">
        <w:rPr>
          <w:noProof/>
          <w:sz w:val="24"/>
          <w:szCs w:val="24"/>
        </w:rPr>
        <w:t xml:space="preserve">He L. and Wondisford F.E., 2015, Metformin action: Concentrations matter, </w:t>
      </w:r>
      <w:r w:rsidRPr="00DA390C">
        <w:rPr>
          <w:i/>
          <w:iCs/>
          <w:noProof/>
          <w:sz w:val="24"/>
          <w:szCs w:val="24"/>
        </w:rPr>
        <w:t>Cell Metabolism</w:t>
      </w:r>
      <w:r w:rsidRPr="00DA390C">
        <w:rPr>
          <w:noProof/>
          <w:sz w:val="24"/>
          <w:szCs w:val="24"/>
        </w:rPr>
        <w:t>, 21 (2), 159–162. Terdapat di: http://dx.doi.org/10.1016/j.cmet.2015.01.003.</w:t>
      </w:r>
    </w:p>
    <w:p w14:paraId="08F876EE" w14:textId="77777777" w:rsidR="00616031" w:rsidRPr="00DA390C" w:rsidRDefault="00616031" w:rsidP="00616031">
      <w:pPr>
        <w:widowControl w:val="0"/>
        <w:autoSpaceDE w:val="0"/>
        <w:autoSpaceDN w:val="0"/>
        <w:adjustRightInd w:val="0"/>
        <w:spacing w:before="80"/>
        <w:ind w:left="480" w:hanging="480"/>
        <w:jc w:val="both"/>
        <w:rPr>
          <w:b/>
          <w:noProof/>
          <w:sz w:val="24"/>
          <w:szCs w:val="24"/>
        </w:rPr>
      </w:pPr>
      <w:r w:rsidRPr="00DA390C">
        <w:rPr>
          <w:noProof/>
          <w:sz w:val="24"/>
          <w:szCs w:val="24"/>
        </w:rPr>
        <w:t xml:space="preserve">IDF, 2019, </w:t>
      </w:r>
      <w:r w:rsidRPr="00DA390C">
        <w:rPr>
          <w:i/>
          <w:iCs/>
          <w:noProof/>
          <w:sz w:val="24"/>
          <w:szCs w:val="24"/>
        </w:rPr>
        <w:t>IDF Diabetes Atlas Ninth edition 2019</w:t>
      </w:r>
      <w:r w:rsidRPr="00DA390C">
        <w:rPr>
          <w:noProof/>
          <w:sz w:val="24"/>
          <w:szCs w:val="24"/>
        </w:rPr>
        <w:t>, Terdapat di: http://www.idf.org/about-diabetes/facts-figures.</w:t>
      </w:r>
    </w:p>
    <w:p w14:paraId="3EF74022" w14:textId="77777777" w:rsidR="00616031" w:rsidRPr="00DA390C" w:rsidRDefault="00616031" w:rsidP="00616031">
      <w:pPr>
        <w:widowControl w:val="0"/>
        <w:autoSpaceDE w:val="0"/>
        <w:autoSpaceDN w:val="0"/>
        <w:adjustRightInd w:val="0"/>
        <w:spacing w:before="80"/>
        <w:ind w:left="480" w:hanging="480"/>
        <w:jc w:val="both"/>
        <w:rPr>
          <w:b/>
          <w:noProof/>
          <w:sz w:val="24"/>
          <w:szCs w:val="24"/>
        </w:rPr>
      </w:pPr>
      <w:r w:rsidRPr="00DA390C">
        <w:rPr>
          <w:noProof/>
          <w:sz w:val="24"/>
          <w:szCs w:val="24"/>
        </w:rPr>
        <w:t xml:space="preserve">Ighodaro O.M., Adeosun A.M. and Oluseyi Adeboye Akinloye, 2017, Alloxan-induced diabetes, a common model for evaluating the glycemic-control potential of therapeutic compounds and plants extracts in experimental studies, </w:t>
      </w:r>
      <w:r w:rsidRPr="00DA390C">
        <w:rPr>
          <w:i/>
          <w:iCs/>
          <w:noProof/>
          <w:sz w:val="24"/>
          <w:szCs w:val="24"/>
        </w:rPr>
        <w:t>Medicina (Lithuania)</w:t>
      </w:r>
      <w:r w:rsidRPr="00DA390C">
        <w:rPr>
          <w:noProof/>
          <w:sz w:val="24"/>
          <w:szCs w:val="24"/>
        </w:rPr>
        <w:t>, 53 (6), 365–374.</w:t>
      </w:r>
    </w:p>
    <w:p w14:paraId="2E64309E" w14:textId="77777777" w:rsidR="00616031" w:rsidRPr="00DA390C" w:rsidRDefault="00616031" w:rsidP="00616031">
      <w:pPr>
        <w:widowControl w:val="0"/>
        <w:autoSpaceDE w:val="0"/>
        <w:autoSpaceDN w:val="0"/>
        <w:adjustRightInd w:val="0"/>
        <w:spacing w:before="80"/>
        <w:ind w:left="480" w:hanging="480"/>
        <w:jc w:val="both"/>
        <w:rPr>
          <w:b/>
          <w:noProof/>
          <w:sz w:val="24"/>
          <w:szCs w:val="24"/>
        </w:rPr>
      </w:pPr>
      <w:r w:rsidRPr="00DA390C">
        <w:rPr>
          <w:noProof/>
          <w:sz w:val="24"/>
          <w:szCs w:val="24"/>
        </w:rPr>
        <w:t xml:space="preserve">Ikawati, Z, 2015, </w:t>
      </w:r>
      <w:r w:rsidRPr="00DA390C">
        <w:rPr>
          <w:i/>
          <w:iCs/>
          <w:noProof/>
          <w:sz w:val="24"/>
          <w:szCs w:val="24"/>
        </w:rPr>
        <w:t>Farmakologi molekuler</w:t>
      </w:r>
      <w:r w:rsidRPr="00DA390C">
        <w:rPr>
          <w:noProof/>
          <w:sz w:val="24"/>
          <w:szCs w:val="24"/>
        </w:rPr>
        <w:t>, Gadjah Mada University Press, Yogyakarta.</w:t>
      </w:r>
    </w:p>
    <w:p w14:paraId="54A9F630" w14:textId="77777777" w:rsidR="00616031" w:rsidRPr="00DA390C" w:rsidRDefault="00616031" w:rsidP="00616031">
      <w:pPr>
        <w:widowControl w:val="0"/>
        <w:autoSpaceDE w:val="0"/>
        <w:autoSpaceDN w:val="0"/>
        <w:adjustRightInd w:val="0"/>
        <w:spacing w:before="80"/>
        <w:ind w:left="480" w:hanging="480"/>
        <w:jc w:val="both"/>
        <w:rPr>
          <w:b/>
          <w:noProof/>
          <w:sz w:val="24"/>
          <w:szCs w:val="24"/>
        </w:rPr>
      </w:pPr>
      <w:r w:rsidRPr="00DA390C">
        <w:rPr>
          <w:noProof/>
          <w:sz w:val="24"/>
          <w:szCs w:val="24"/>
        </w:rPr>
        <w:t xml:space="preserve">Kalra S., Kesavadev J., Chadha M. and Vijaya Kumar G., 2018, Sodium-glucose cotransporter-2 inhibitors in combination with other glucose-lowering agents for the treatment of type 2 diabetes mellitus, </w:t>
      </w:r>
      <w:r w:rsidRPr="00DA390C">
        <w:rPr>
          <w:i/>
          <w:iCs/>
          <w:noProof/>
          <w:sz w:val="24"/>
          <w:szCs w:val="24"/>
        </w:rPr>
        <w:t>Indian Journal of Endocrinology and Metabolism</w:t>
      </w:r>
      <w:r w:rsidRPr="00DA390C">
        <w:rPr>
          <w:noProof/>
          <w:sz w:val="24"/>
          <w:szCs w:val="24"/>
        </w:rPr>
        <w:t>, 22 (6), 827–836.</w:t>
      </w:r>
    </w:p>
    <w:p w14:paraId="175672A5" w14:textId="77777777" w:rsidR="00616031" w:rsidRPr="00DA390C" w:rsidRDefault="00616031" w:rsidP="00616031">
      <w:pPr>
        <w:widowControl w:val="0"/>
        <w:autoSpaceDE w:val="0"/>
        <w:autoSpaceDN w:val="0"/>
        <w:adjustRightInd w:val="0"/>
        <w:spacing w:before="80"/>
        <w:ind w:left="480" w:hanging="480"/>
        <w:jc w:val="both"/>
        <w:rPr>
          <w:b/>
          <w:noProof/>
          <w:sz w:val="24"/>
          <w:szCs w:val="24"/>
        </w:rPr>
      </w:pPr>
      <w:r w:rsidRPr="00DA390C">
        <w:rPr>
          <w:noProof/>
          <w:sz w:val="24"/>
          <w:szCs w:val="24"/>
        </w:rPr>
        <w:t xml:space="preserve">Kristin E., 2016, Dipeptidyl Peptidase 4 (Dpp-4) Inhibitors for the Treatment of Type 2 Diabetes Mellitus, </w:t>
      </w:r>
      <w:r w:rsidRPr="00DA390C">
        <w:rPr>
          <w:i/>
          <w:iCs/>
          <w:noProof/>
          <w:sz w:val="24"/>
          <w:szCs w:val="24"/>
        </w:rPr>
        <w:t>Journal of thee Medical Sciences (Berkala Ilmu Kedokteran)</w:t>
      </w:r>
      <w:r w:rsidRPr="00DA390C">
        <w:rPr>
          <w:noProof/>
          <w:sz w:val="24"/>
          <w:szCs w:val="24"/>
        </w:rPr>
        <w:t>, 48 (02), 119–130.</w:t>
      </w:r>
    </w:p>
    <w:p w14:paraId="6A78EA4C" w14:textId="77777777" w:rsidR="00616031" w:rsidRPr="00DA390C" w:rsidRDefault="00616031" w:rsidP="00616031">
      <w:pPr>
        <w:widowControl w:val="0"/>
        <w:autoSpaceDE w:val="0"/>
        <w:autoSpaceDN w:val="0"/>
        <w:adjustRightInd w:val="0"/>
        <w:spacing w:before="80"/>
        <w:ind w:left="480" w:hanging="480"/>
        <w:jc w:val="both"/>
        <w:rPr>
          <w:b/>
          <w:noProof/>
          <w:sz w:val="24"/>
          <w:szCs w:val="24"/>
        </w:rPr>
      </w:pPr>
      <w:r w:rsidRPr="00DA390C">
        <w:rPr>
          <w:noProof/>
          <w:sz w:val="24"/>
          <w:szCs w:val="24"/>
        </w:rPr>
        <w:t xml:space="preserve">Li M., Li X., Zhang H. and Lu Y., 2018, Molecular Mechanisms of Metformin for Diabetes and Cancer Treatment, </w:t>
      </w:r>
      <w:r w:rsidRPr="00DA390C">
        <w:rPr>
          <w:i/>
          <w:iCs/>
          <w:noProof/>
          <w:sz w:val="24"/>
          <w:szCs w:val="24"/>
        </w:rPr>
        <w:t>Frontiers in Physiology</w:t>
      </w:r>
      <w:r w:rsidRPr="00DA390C">
        <w:rPr>
          <w:noProof/>
          <w:sz w:val="24"/>
          <w:szCs w:val="24"/>
        </w:rPr>
        <w:t>, 9 (July), 1–7.</w:t>
      </w:r>
    </w:p>
    <w:p w14:paraId="3BC154F4" w14:textId="77777777" w:rsidR="00616031" w:rsidRPr="00DA390C" w:rsidRDefault="00616031" w:rsidP="00616031">
      <w:pPr>
        <w:widowControl w:val="0"/>
        <w:autoSpaceDE w:val="0"/>
        <w:autoSpaceDN w:val="0"/>
        <w:adjustRightInd w:val="0"/>
        <w:spacing w:before="80"/>
        <w:ind w:left="480" w:hanging="480"/>
        <w:jc w:val="both"/>
        <w:rPr>
          <w:b/>
          <w:noProof/>
          <w:sz w:val="24"/>
          <w:szCs w:val="24"/>
        </w:rPr>
      </w:pPr>
      <w:r w:rsidRPr="00DA390C">
        <w:rPr>
          <w:noProof/>
          <w:sz w:val="24"/>
          <w:szCs w:val="24"/>
        </w:rPr>
        <w:t xml:space="preserve">Milder T.Y., Stocker S.L., Abdel Shaheed C., McGrath-Cadell L., Samocha-Bonet D., Greenfield J.R. and Day R.O., 2019, Combination Therapy with an SGLT2 Inhibitor as Initial Treatment for Type 2 Diabetes: A Systematic Review and Meta-Analysis, </w:t>
      </w:r>
      <w:r w:rsidRPr="00DA390C">
        <w:rPr>
          <w:i/>
          <w:iCs/>
          <w:noProof/>
          <w:sz w:val="24"/>
          <w:szCs w:val="24"/>
        </w:rPr>
        <w:t>Journal of Clinical Medicine</w:t>
      </w:r>
      <w:r w:rsidRPr="00DA390C">
        <w:rPr>
          <w:noProof/>
          <w:sz w:val="24"/>
          <w:szCs w:val="24"/>
        </w:rPr>
        <w:t>, 8 (1), 45.</w:t>
      </w:r>
    </w:p>
    <w:p w14:paraId="02E4EB56" w14:textId="77777777" w:rsidR="00616031" w:rsidRPr="00DA390C" w:rsidRDefault="00616031" w:rsidP="00616031">
      <w:pPr>
        <w:widowControl w:val="0"/>
        <w:autoSpaceDE w:val="0"/>
        <w:autoSpaceDN w:val="0"/>
        <w:adjustRightInd w:val="0"/>
        <w:spacing w:before="80"/>
        <w:ind w:left="480" w:hanging="480"/>
        <w:jc w:val="both"/>
        <w:rPr>
          <w:b/>
          <w:noProof/>
          <w:sz w:val="24"/>
          <w:szCs w:val="24"/>
        </w:rPr>
      </w:pPr>
      <w:r w:rsidRPr="00DA390C">
        <w:rPr>
          <w:noProof/>
          <w:sz w:val="24"/>
          <w:szCs w:val="24"/>
        </w:rPr>
        <w:t xml:space="preserve">Muller T.D., Finan B., Bloom S.R., D’Alessio D., Drucker D.J., Flatt P.R., Fritsche A., Gribble F., Grill H.J., Habener J.F., Holst J.J., Langhans W., Meier J.J., Nauck M.A., Perez-Tilve D., Pocai A., </w:t>
      </w:r>
      <w:r w:rsidRPr="00DA390C">
        <w:rPr>
          <w:i/>
          <w:iCs/>
          <w:noProof/>
          <w:sz w:val="24"/>
          <w:szCs w:val="24"/>
        </w:rPr>
        <w:t>et al.</w:t>
      </w:r>
      <w:r w:rsidRPr="00DA390C">
        <w:rPr>
          <w:noProof/>
          <w:sz w:val="24"/>
          <w:szCs w:val="24"/>
        </w:rPr>
        <w:t xml:space="preserve">, 2019, Glucagon-like peptide 1 (GLP-1), </w:t>
      </w:r>
      <w:r w:rsidRPr="00DA390C">
        <w:rPr>
          <w:i/>
          <w:iCs/>
          <w:noProof/>
          <w:sz w:val="24"/>
          <w:szCs w:val="24"/>
        </w:rPr>
        <w:t>Molecular Metabolism</w:t>
      </w:r>
      <w:r w:rsidRPr="00DA390C">
        <w:rPr>
          <w:noProof/>
          <w:sz w:val="24"/>
          <w:szCs w:val="24"/>
        </w:rPr>
        <w:t>, 30, 72–130. Terdapat di: https://doi.org/10.1016/j.molmet.2019.09.010.</w:t>
      </w:r>
    </w:p>
    <w:p w14:paraId="2324FBCA" w14:textId="77777777" w:rsidR="00616031" w:rsidRPr="00DA390C" w:rsidRDefault="00616031" w:rsidP="00616031">
      <w:pPr>
        <w:widowControl w:val="0"/>
        <w:autoSpaceDE w:val="0"/>
        <w:autoSpaceDN w:val="0"/>
        <w:adjustRightInd w:val="0"/>
        <w:spacing w:before="80"/>
        <w:ind w:left="480" w:hanging="480"/>
        <w:jc w:val="both"/>
        <w:rPr>
          <w:b/>
          <w:noProof/>
          <w:sz w:val="24"/>
          <w:szCs w:val="24"/>
        </w:rPr>
      </w:pPr>
      <w:r w:rsidRPr="00DA390C">
        <w:rPr>
          <w:noProof/>
          <w:sz w:val="24"/>
          <w:szCs w:val="24"/>
        </w:rPr>
        <w:t xml:space="preserve">Paresh D. and Chaudhuri A., 2017, Sodium-glucose co-transporter 2 inhibitors for type 2 diabetes mellitus: An overview for the primary care physician, </w:t>
      </w:r>
      <w:r w:rsidRPr="00DA390C">
        <w:rPr>
          <w:i/>
          <w:iCs/>
          <w:noProof/>
          <w:sz w:val="24"/>
          <w:szCs w:val="24"/>
        </w:rPr>
        <w:t>International Journal of Clinical Practice</w:t>
      </w:r>
      <w:r w:rsidRPr="00DA390C">
        <w:rPr>
          <w:noProof/>
          <w:sz w:val="24"/>
          <w:szCs w:val="24"/>
        </w:rPr>
        <w:t>, 71 (5), 1–14.</w:t>
      </w:r>
    </w:p>
    <w:p w14:paraId="5CDC3B0B" w14:textId="0757D7BE" w:rsidR="00616031" w:rsidRPr="00DA390C" w:rsidRDefault="00616031" w:rsidP="00616031">
      <w:pPr>
        <w:widowControl w:val="0"/>
        <w:autoSpaceDE w:val="0"/>
        <w:autoSpaceDN w:val="0"/>
        <w:adjustRightInd w:val="0"/>
        <w:spacing w:before="80"/>
        <w:ind w:left="480" w:hanging="480"/>
        <w:jc w:val="both"/>
        <w:rPr>
          <w:b/>
          <w:noProof/>
          <w:sz w:val="24"/>
          <w:szCs w:val="24"/>
        </w:rPr>
      </w:pPr>
      <w:r w:rsidRPr="00DA390C">
        <w:rPr>
          <w:noProof/>
          <w:sz w:val="24"/>
          <w:szCs w:val="24"/>
        </w:rPr>
        <w:t xml:space="preserve">Perkeni, 2015, </w:t>
      </w:r>
      <w:r w:rsidRPr="00DA390C">
        <w:rPr>
          <w:i/>
          <w:iCs/>
          <w:noProof/>
          <w:sz w:val="24"/>
          <w:szCs w:val="24"/>
        </w:rPr>
        <w:t>Konsesus Pengelolaan Dan Pencegahan Diabetes Melitus Tipe2 Di Indonesia 2015</w:t>
      </w:r>
      <w:r w:rsidRPr="00DA390C">
        <w:rPr>
          <w:noProof/>
          <w:sz w:val="24"/>
          <w:szCs w:val="24"/>
        </w:rPr>
        <w:t xml:space="preserve">, </w:t>
      </w:r>
    </w:p>
    <w:p w14:paraId="07D1EA7E" w14:textId="77777777" w:rsidR="00616031" w:rsidRPr="00DA390C" w:rsidRDefault="00616031" w:rsidP="00616031">
      <w:pPr>
        <w:widowControl w:val="0"/>
        <w:autoSpaceDE w:val="0"/>
        <w:autoSpaceDN w:val="0"/>
        <w:adjustRightInd w:val="0"/>
        <w:spacing w:before="80"/>
        <w:ind w:left="480" w:hanging="480"/>
        <w:jc w:val="both"/>
        <w:rPr>
          <w:b/>
          <w:noProof/>
          <w:sz w:val="24"/>
          <w:szCs w:val="24"/>
        </w:rPr>
      </w:pPr>
      <w:r w:rsidRPr="00DA390C">
        <w:rPr>
          <w:noProof/>
          <w:sz w:val="24"/>
          <w:szCs w:val="24"/>
        </w:rPr>
        <w:t xml:space="preserve">Riskesdas, 2018, Hasil Utama Riset Kesehata Dasar (RISKESDAS), </w:t>
      </w:r>
      <w:r w:rsidRPr="00DA390C">
        <w:rPr>
          <w:i/>
          <w:iCs/>
          <w:noProof/>
          <w:sz w:val="24"/>
          <w:szCs w:val="24"/>
        </w:rPr>
        <w:t>Journal of Physics A: Mathematical and Theoretical</w:t>
      </w:r>
      <w:r w:rsidRPr="00DA390C">
        <w:rPr>
          <w:noProof/>
          <w:sz w:val="24"/>
          <w:szCs w:val="24"/>
        </w:rPr>
        <w:t>, 44 (8), 1–200. Terdapat di: http://arxiv.org/abs/1011.1669%0Ahttp://dx.doi.org/10.1088/1751-8113/44/8/085201%0Ahttp://stacks.iop.org/1751-8121/44/i=8/a=085201?key=crossref.abc74c979a75846b3de48a5587bf708f.</w:t>
      </w:r>
    </w:p>
    <w:p w14:paraId="1B1DA0EB" w14:textId="77777777" w:rsidR="00616031" w:rsidRPr="00DA390C" w:rsidRDefault="00616031" w:rsidP="00616031">
      <w:pPr>
        <w:widowControl w:val="0"/>
        <w:autoSpaceDE w:val="0"/>
        <w:autoSpaceDN w:val="0"/>
        <w:adjustRightInd w:val="0"/>
        <w:spacing w:before="80"/>
        <w:ind w:left="480" w:hanging="480"/>
        <w:jc w:val="both"/>
        <w:rPr>
          <w:b/>
          <w:noProof/>
          <w:sz w:val="24"/>
          <w:szCs w:val="24"/>
        </w:rPr>
      </w:pPr>
      <w:r w:rsidRPr="00DA390C">
        <w:rPr>
          <w:noProof/>
          <w:sz w:val="24"/>
          <w:szCs w:val="24"/>
        </w:rPr>
        <w:t xml:space="preserve">Santoso S., 2014, </w:t>
      </w:r>
      <w:r w:rsidRPr="00DA390C">
        <w:rPr>
          <w:i/>
          <w:iCs/>
          <w:noProof/>
          <w:sz w:val="24"/>
          <w:szCs w:val="24"/>
        </w:rPr>
        <w:t>Panduan lengkap SPSS Versi 20 Edisi Revisi</w:t>
      </w:r>
      <w:r w:rsidRPr="00DA390C">
        <w:rPr>
          <w:noProof/>
          <w:sz w:val="24"/>
          <w:szCs w:val="24"/>
        </w:rPr>
        <w:t>, PT. Alex Media Komputindo, Jakarta.</w:t>
      </w:r>
    </w:p>
    <w:p w14:paraId="5AB3133D" w14:textId="77777777" w:rsidR="00616031" w:rsidRPr="00DA390C" w:rsidRDefault="00616031" w:rsidP="00616031">
      <w:pPr>
        <w:widowControl w:val="0"/>
        <w:autoSpaceDE w:val="0"/>
        <w:autoSpaceDN w:val="0"/>
        <w:adjustRightInd w:val="0"/>
        <w:spacing w:before="80"/>
        <w:ind w:left="480" w:hanging="480"/>
        <w:jc w:val="both"/>
        <w:rPr>
          <w:b/>
          <w:noProof/>
          <w:sz w:val="24"/>
        </w:rPr>
      </w:pPr>
      <w:r w:rsidRPr="00DA390C">
        <w:rPr>
          <w:noProof/>
          <w:sz w:val="24"/>
          <w:szCs w:val="24"/>
        </w:rPr>
        <w:t>Sukiatno L., Kusuma I.Y. and Samodra G., 2021, Cardioprotective and Renoprotective Effects of the Use of SGLT2 Inhibitors in Diabetes Mellitus Patients, , 34 (Ahms 2020), 121–127.</w:t>
      </w:r>
    </w:p>
    <w:p w14:paraId="79CF2A43" w14:textId="7D1F4EA3" w:rsidR="009C1989" w:rsidRPr="00487DF0" w:rsidRDefault="00616031" w:rsidP="00487DF0">
      <w:pPr>
        <w:widowControl w:val="0"/>
        <w:autoSpaceDE w:val="0"/>
        <w:autoSpaceDN w:val="0"/>
        <w:adjustRightInd w:val="0"/>
        <w:spacing w:before="80"/>
        <w:ind w:left="480" w:hanging="480"/>
        <w:jc w:val="both"/>
        <w:rPr>
          <w:b/>
          <w:noProof/>
          <w:sz w:val="24"/>
          <w:szCs w:val="24"/>
        </w:rPr>
      </w:pPr>
      <w:r w:rsidRPr="00DA390C">
        <w:rPr>
          <w:b/>
        </w:rPr>
        <w:fldChar w:fldCharType="end"/>
      </w:r>
      <w:r w:rsidR="009C1989">
        <w:br w:type="page"/>
      </w:r>
    </w:p>
    <w:p w14:paraId="1B95377D" w14:textId="164DCD69" w:rsidR="009C1989" w:rsidRDefault="009C1989" w:rsidP="00E5498E">
      <w:pPr>
        <w:pStyle w:val="Caption"/>
        <w:spacing w:after="0"/>
        <w:rPr>
          <w:b/>
          <w:sz w:val="20"/>
          <w:szCs w:val="20"/>
        </w:rPr>
      </w:pPr>
      <w:r>
        <w:rPr>
          <w:b/>
          <w:sz w:val="20"/>
          <w:szCs w:val="20"/>
        </w:rPr>
        <w:t>Tabel 1</w:t>
      </w:r>
      <w:r w:rsidRPr="00975B0E">
        <w:rPr>
          <w:b/>
          <w:sz w:val="20"/>
          <w:szCs w:val="20"/>
        </w:rPr>
        <w:t xml:space="preserve">. </w:t>
      </w:r>
      <w:r w:rsidR="00E5498E">
        <w:rPr>
          <w:b/>
          <w:sz w:val="20"/>
          <w:szCs w:val="20"/>
        </w:rPr>
        <w:t>Hasil penggunaan dapagliflozin tunggal dan kombinasi dapagliflozin dengan</w:t>
      </w:r>
      <w:r w:rsidR="007711C6">
        <w:rPr>
          <w:b/>
          <w:sz w:val="20"/>
          <w:szCs w:val="20"/>
        </w:rPr>
        <w:t xml:space="preserve"> </w:t>
      </w:r>
      <w:r w:rsidR="00E5498E">
        <w:rPr>
          <w:b/>
          <w:sz w:val="20"/>
          <w:szCs w:val="20"/>
        </w:rPr>
        <w:t>metformin,</w:t>
      </w:r>
      <w:r w:rsidR="007711C6">
        <w:rPr>
          <w:b/>
          <w:sz w:val="20"/>
          <w:szCs w:val="20"/>
        </w:rPr>
        <w:t xml:space="preserve"> </w:t>
      </w:r>
      <w:r w:rsidR="00E5498E">
        <w:rPr>
          <w:b/>
          <w:sz w:val="20"/>
          <w:szCs w:val="20"/>
        </w:rPr>
        <w:t>saxaglitpin dan glimepirid, perbedaan Rata-rata kadar glukosa darah mencit 7 hari perlakuan</w:t>
      </w:r>
    </w:p>
    <w:tbl>
      <w:tblPr>
        <w:tblStyle w:val="TableGrid"/>
        <w:tblpPr w:leftFromText="180" w:rightFromText="180" w:vertAnchor="text" w:horzAnchor="margin" w:tblpXSpec="right" w:tblpY="112"/>
        <w:tblW w:w="828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10"/>
        <w:gridCol w:w="810"/>
        <w:gridCol w:w="900"/>
        <w:gridCol w:w="810"/>
        <w:gridCol w:w="900"/>
        <w:gridCol w:w="810"/>
        <w:gridCol w:w="810"/>
        <w:gridCol w:w="900"/>
        <w:gridCol w:w="810"/>
        <w:gridCol w:w="720"/>
      </w:tblGrid>
      <w:tr w:rsidR="00E5498E" w:rsidRPr="00DD4046" w14:paraId="33BD33F0" w14:textId="77777777" w:rsidTr="005108F9">
        <w:trPr>
          <w:trHeight w:val="83"/>
        </w:trPr>
        <w:tc>
          <w:tcPr>
            <w:tcW w:w="810" w:type="dxa"/>
            <w:vMerge w:val="restart"/>
            <w:shd w:val="clear" w:color="auto" w:fill="auto"/>
            <w:vAlign w:val="center"/>
          </w:tcPr>
          <w:p w14:paraId="306FC01A" w14:textId="77777777" w:rsidR="00E5498E" w:rsidRPr="00DD4046" w:rsidRDefault="00E5498E" w:rsidP="005108F9">
            <w:pPr>
              <w:rPr>
                <w:sz w:val="18"/>
                <w:szCs w:val="18"/>
              </w:rPr>
            </w:pPr>
            <w:r w:rsidRPr="00DD4046">
              <w:rPr>
                <w:sz w:val="18"/>
                <w:szCs w:val="18"/>
              </w:rPr>
              <w:t>Kelompok</w:t>
            </w:r>
          </w:p>
        </w:tc>
        <w:tc>
          <w:tcPr>
            <w:tcW w:w="7470" w:type="dxa"/>
            <w:gridSpan w:val="9"/>
            <w:shd w:val="clear" w:color="auto" w:fill="auto"/>
          </w:tcPr>
          <w:p w14:paraId="4A2976BE" w14:textId="77777777" w:rsidR="00E5498E" w:rsidRPr="00DD4046" w:rsidRDefault="00E5498E" w:rsidP="005108F9">
            <w:pPr>
              <w:rPr>
                <w:sz w:val="18"/>
                <w:szCs w:val="18"/>
              </w:rPr>
            </w:pPr>
            <w:r w:rsidRPr="00DD4046">
              <w:rPr>
                <w:sz w:val="18"/>
                <w:szCs w:val="18"/>
              </w:rPr>
              <w:t>Kadar Gula darah (mg/dL)yang diukur pada hari ke-</w:t>
            </w:r>
          </w:p>
        </w:tc>
      </w:tr>
      <w:tr w:rsidR="00E5498E" w:rsidRPr="00DD4046" w14:paraId="49458BE5" w14:textId="77777777" w:rsidTr="005108F9">
        <w:tc>
          <w:tcPr>
            <w:tcW w:w="810" w:type="dxa"/>
            <w:vMerge/>
            <w:shd w:val="clear" w:color="auto" w:fill="auto"/>
          </w:tcPr>
          <w:p w14:paraId="7C7E3AA7" w14:textId="77777777" w:rsidR="00E5498E" w:rsidRPr="00DD4046" w:rsidRDefault="00E5498E" w:rsidP="005108F9">
            <w:pPr>
              <w:rPr>
                <w:sz w:val="18"/>
                <w:szCs w:val="18"/>
              </w:rPr>
            </w:pPr>
          </w:p>
        </w:tc>
        <w:tc>
          <w:tcPr>
            <w:tcW w:w="810" w:type="dxa"/>
            <w:shd w:val="clear" w:color="auto" w:fill="auto"/>
            <w:vAlign w:val="center"/>
          </w:tcPr>
          <w:p w14:paraId="119D08EA" w14:textId="77777777" w:rsidR="00E5498E" w:rsidRPr="00DD4046" w:rsidRDefault="00E5498E" w:rsidP="005108F9">
            <w:pPr>
              <w:rPr>
                <w:sz w:val="18"/>
                <w:szCs w:val="18"/>
              </w:rPr>
            </w:pPr>
            <w:r w:rsidRPr="00DD4046">
              <w:rPr>
                <w:sz w:val="18"/>
                <w:szCs w:val="18"/>
              </w:rPr>
              <w:t>H0</w:t>
            </w:r>
          </w:p>
        </w:tc>
        <w:tc>
          <w:tcPr>
            <w:tcW w:w="900" w:type="dxa"/>
            <w:shd w:val="clear" w:color="auto" w:fill="auto"/>
            <w:vAlign w:val="center"/>
          </w:tcPr>
          <w:p w14:paraId="506BB061" w14:textId="77777777" w:rsidR="00E5498E" w:rsidRPr="00DD4046" w:rsidRDefault="00E5498E" w:rsidP="005108F9">
            <w:pPr>
              <w:rPr>
                <w:sz w:val="18"/>
                <w:szCs w:val="18"/>
              </w:rPr>
            </w:pPr>
            <w:r w:rsidRPr="00DD4046">
              <w:rPr>
                <w:color w:val="000000"/>
                <w:sz w:val="18"/>
                <w:szCs w:val="18"/>
              </w:rPr>
              <w:t>H1</w:t>
            </w:r>
          </w:p>
        </w:tc>
        <w:tc>
          <w:tcPr>
            <w:tcW w:w="810" w:type="dxa"/>
            <w:shd w:val="clear" w:color="auto" w:fill="auto"/>
            <w:vAlign w:val="center"/>
          </w:tcPr>
          <w:p w14:paraId="4E5A5BFE" w14:textId="77777777" w:rsidR="00E5498E" w:rsidRPr="00DD4046" w:rsidRDefault="00E5498E" w:rsidP="005108F9">
            <w:pPr>
              <w:rPr>
                <w:sz w:val="18"/>
                <w:szCs w:val="18"/>
              </w:rPr>
            </w:pPr>
            <w:r w:rsidRPr="00DD4046">
              <w:rPr>
                <w:color w:val="000000"/>
                <w:sz w:val="18"/>
                <w:szCs w:val="18"/>
              </w:rPr>
              <w:t>H2</w:t>
            </w:r>
          </w:p>
        </w:tc>
        <w:tc>
          <w:tcPr>
            <w:tcW w:w="900" w:type="dxa"/>
            <w:shd w:val="clear" w:color="auto" w:fill="auto"/>
            <w:vAlign w:val="center"/>
          </w:tcPr>
          <w:p w14:paraId="7B88088B" w14:textId="77777777" w:rsidR="00E5498E" w:rsidRPr="00DD4046" w:rsidRDefault="00E5498E" w:rsidP="005108F9">
            <w:pPr>
              <w:rPr>
                <w:sz w:val="18"/>
                <w:szCs w:val="18"/>
              </w:rPr>
            </w:pPr>
            <w:r w:rsidRPr="00DD4046">
              <w:rPr>
                <w:color w:val="000000"/>
                <w:sz w:val="18"/>
                <w:szCs w:val="18"/>
              </w:rPr>
              <w:t>H3</w:t>
            </w:r>
          </w:p>
        </w:tc>
        <w:tc>
          <w:tcPr>
            <w:tcW w:w="810" w:type="dxa"/>
            <w:shd w:val="clear" w:color="auto" w:fill="auto"/>
            <w:vAlign w:val="center"/>
          </w:tcPr>
          <w:p w14:paraId="2CBCC491" w14:textId="77777777" w:rsidR="00E5498E" w:rsidRPr="00DD4046" w:rsidRDefault="00E5498E" w:rsidP="005108F9">
            <w:pPr>
              <w:rPr>
                <w:sz w:val="18"/>
                <w:szCs w:val="18"/>
              </w:rPr>
            </w:pPr>
            <w:r w:rsidRPr="00DD4046">
              <w:rPr>
                <w:color w:val="000000"/>
                <w:sz w:val="18"/>
                <w:szCs w:val="18"/>
              </w:rPr>
              <w:t>H4</w:t>
            </w:r>
          </w:p>
        </w:tc>
        <w:tc>
          <w:tcPr>
            <w:tcW w:w="810" w:type="dxa"/>
            <w:shd w:val="clear" w:color="auto" w:fill="auto"/>
            <w:vAlign w:val="center"/>
          </w:tcPr>
          <w:p w14:paraId="60CDC31E" w14:textId="77777777" w:rsidR="00E5498E" w:rsidRPr="00DD4046" w:rsidRDefault="00E5498E" w:rsidP="005108F9">
            <w:pPr>
              <w:rPr>
                <w:sz w:val="18"/>
                <w:szCs w:val="18"/>
              </w:rPr>
            </w:pPr>
            <w:r w:rsidRPr="00DD4046">
              <w:rPr>
                <w:color w:val="000000"/>
                <w:sz w:val="18"/>
                <w:szCs w:val="18"/>
              </w:rPr>
              <w:t>H5</w:t>
            </w:r>
          </w:p>
        </w:tc>
        <w:tc>
          <w:tcPr>
            <w:tcW w:w="900" w:type="dxa"/>
            <w:shd w:val="clear" w:color="auto" w:fill="auto"/>
            <w:vAlign w:val="center"/>
          </w:tcPr>
          <w:p w14:paraId="50C34AF0" w14:textId="77777777" w:rsidR="00E5498E" w:rsidRPr="00DD4046" w:rsidRDefault="00E5498E" w:rsidP="005108F9">
            <w:pPr>
              <w:rPr>
                <w:sz w:val="18"/>
                <w:szCs w:val="18"/>
              </w:rPr>
            </w:pPr>
            <w:r w:rsidRPr="00DD4046">
              <w:rPr>
                <w:color w:val="000000"/>
                <w:sz w:val="18"/>
                <w:szCs w:val="18"/>
              </w:rPr>
              <w:t>H6</w:t>
            </w:r>
          </w:p>
        </w:tc>
        <w:tc>
          <w:tcPr>
            <w:tcW w:w="810" w:type="dxa"/>
            <w:shd w:val="clear" w:color="auto" w:fill="auto"/>
            <w:vAlign w:val="center"/>
          </w:tcPr>
          <w:p w14:paraId="6F1EA862" w14:textId="77777777" w:rsidR="00E5498E" w:rsidRPr="00DD4046" w:rsidRDefault="00E5498E" w:rsidP="005108F9">
            <w:pPr>
              <w:rPr>
                <w:sz w:val="18"/>
                <w:szCs w:val="18"/>
              </w:rPr>
            </w:pPr>
            <w:r w:rsidRPr="00DD4046">
              <w:rPr>
                <w:color w:val="000000"/>
                <w:sz w:val="18"/>
                <w:szCs w:val="18"/>
              </w:rPr>
              <w:t>H7</w:t>
            </w:r>
          </w:p>
        </w:tc>
        <w:tc>
          <w:tcPr>
            <w:tcW w:w="720" w:type="dxa"/>
            <w:shd w:val="clear" w:color="auto" w:fill="auto"/>
          </w:tcPr>
          <w:p w14:paraId="062EB795" w14:textId="77777777" w:rsidR="00E5498E" w:rsidRPr="00DD4046" w:rsidRDefault="00E5498E" w:rsidP="005108F9">
            <w:pPr>
              <w:rPr>
                <w:color w:val="000000"/>
                <w:sz w:val="18"/>
                <w:szCs w:val="18"/>
              </w:rPr>
            </w:pPr>
            <w:r w:rsidRPr="00DD4046">
              <w:rPr>
                <w:color w:val="000000"/>
                <w:sz w:val="18"/>
                <w:szCs w:val="18"/>
              </w:rPr>
              <w:t>Rata-rata</w:t>
            </w:r>
          </w:p>
        </w:tc>
      </w:tr>
      <w:tr w:rsidR="00E5498E" w:rsidRPr="00DD4046" w14:paraId="7AC7BF76" w14:textId="77777777" w:rsidTr="005108F9">
        <w:tc>
          <w:tcPr>
            <w:tcW w:w="810" w:type="dxa"/>
            <w:shd w:val="clear" w:color="auto" w:fill="auto"/>
          </w:tcPr>
          <w:p w14:paraId="0C14B5F3" w14:textId="77777777" w:rsidR="00E5498E" w:rsidRPr="00DD4046" w:rsidRDefault="00E5498E" w:rsidP="005108F9">
            <w:pPr>
              <w:rPr>
                <w:sz w:val="18"/>
                <w:szCs w:val="18"/>
              </w:rPr>
            </w:pPr>
            <w:r w:rsidRPr="00DD4046">
              <w:rPr>
                <w:sz w:val="18"/>
                <w:szCs w:val="18"/>
              </w:rPr>
              <w:t>Dapa</w:t>
            </w:r>
          </w:p>
        </w:tc>
        <w:tc>
          <w:tcPr>
            <w:tcW w:w="810" w:type="dxa"/>
            <w:shd w:val="clear" w:color="auto" w:fill="auto"/>
          </w:tcPr>
          <w:p w14:paraId="1194D205" w14:textId="77777777" w:rsidR="00E5498E" w:rsidRPr="00DD4046" w:rsidRDefault="00E5498E" w:rsidP="005108F9">
            <w:pPr>
              <w:rPr>
                <w:b/>
                <w:bCs/>
                <w:sz w:val="18"/>
                <w:szCs w:val="18"/>
              </w:rPr>
            </w:pPr>
            <w:r w:rsidRPr="00DD4046">
              <w:rPr>
                <w:bCs/>
                <w:sz w:val="18"/>
                <w:szCs w:val="18"/>
              </w:rPr>
              <w:t xml:space="preserve">216.20 ± 6.45 </w:t>
            </w:r>
          </w:p>
        </w:tc>
        <w:tc>
          <w:tcPr>
            <w:tcW w:w="900" w:type="dxa"/>
            <w:shd w:val="clear" w:color="auto" w:fill="auto"/>
          </w:tcPr>
          <w:p w14:paraId="1549B9C6" w14:textId="77777777" w:rsidR="00E5498E" w:rsidRPr="00DD4046" w:rsidRDefault="00E5498E" w:rsidP="005108F9">
            <w:pPr>
              <w:rPr>
                <w:b/>
                <w:bCs/>
                <w:sz w:val="18"/>
                <w:szCs w:val="18"/>
              </w:rPr>
            </w:pPr>
            <w:r w:rsidRPr="00DD4046">
              <w:rPr>
                <w:bCs/>
                <w:sz w:val="18"/>
                <w:szCs w:val="18"/>
              </w:rPr>
              <w:t>173.20 ±7.12</w:t>
            </w:r>
          </w:p>
        </w:tc>
        <w:tc>
          <w:tcPr>
            <w:tcW w:w="810" w:type="dxa"/>
            <w:shd w:val="clear" w:color="auto" w:fill="auto"/>
          </w:tcPr>
          <w:p w14:paraId="48689DFF" w14:textId="77777777" w:rsidR="00E5498E" w:rsidRPr="00DD4046" w:rsidRDefault="00E5498E" w:rsidP="005108F9">
            <w:pPr>
              <w:rPr>
                <w:b/>
                <w:bCs/>
                <w:sz w:val="18"/>
                <w:szCs w:val="18"/>
              </w:rPr>
            </w:pPr>
            <w:r w:rsidRPr="00DD4046">
              <w:rPr>
                <w:bCs/>
                <w:sz w:val="18"/>
                <w:szCs w:val="18"/>
              </w:rPr>
              <w:t>149.80 ± 4.08</w:t>
            </w:r>
          </w:p>
        </w:tc>
        <w:tc>
          <w:tcPr>
            <w:tcW w:w="900" w:type="dxa"/>
            <w:shd w:val="clear" w:color="auto" w:fill="auto"/>
          </w:tcPr>
          <w:p w14:paraId="70821AE6" w14:textId="77777777" w:rsidR="00E5498E" w:rsidRPr="00DD4046" w:rsidRDefault="00E5498E" w:rsidP="005108F9">
            <w:pPr>
              <w:rPr>
                <w:b/>
                <w:bCs/>
                <w:sz w:val="18"/>
                <w:szCs w:val="18"/>
              </w:rPr>
            </w:pPr>
            <w:r w:rsidRPr="00DD4046">
              <w:rPr>
                <w:bCs/>
                <w:sz w:val="18"/>
                <w:szCs w:val="18"/>
              </w:rPr>
              <w:t>140.40 ± 7.89</w:t>
            </w:r>
          </w:p>
        </w:tc>
        <w:tc>
          <w:tcPr>
            <w:tcW w:w="810" w:type="dxa"/>
            <w:shd w:val="clear" w:color="auto" w:fill="auto"/>
          </w:tcPr>
          <w:p w14:paraId="4A4ECC89" w14:textId="77777777" w:rsidR="00E5498E" w:rsidRPr="00DD4046" w:rsidRDefault="00E5498E" w:rsidP="005108F9">
            <w:pPr>
              <w:rPr>
                <w:b/>
                <w:bCs/>
                <w:sz w:val="18"/>
                <w:szCs w:val="18"/>
              </w:rPr>
            </w:pPr>
            <w:r w:rsidRPr="00DD4046">
              <w:rPr>
                <w:bCs/>
                <w:sz w:val="18"/>
                <w:szCs w:val="18"/>
              </w:rPr>
              <w:t>131.20 ± 7.88</w:t>
            </w:r>
          </w:p>
        </w:tc>
        <w:tc>
          <w:tcPr>
            <w:tcW w:w="810" w:type="dxa"/>
            <w:shd w:val="clear" w:color="auto" w:fill="auto"/>
          </w:tcPr>
          <w:p w14:paraId="4C097BA9" w14:textId="77777777" w:rsidR="00E5498E" w:rsidRPr="00DD4046" w:rsidRDefault="00E5498E" w:rsidP="005108F9">
            <w:pPr>
              <w:rPr>
                <w:b/>
                <w:bCs/>
                <w:sz w:val="18"/>
                <w:szCs w:val="18"/>
              </w:rPr>
            </w:pPr>
            <w:r w:rsidRPr="00DD4046">
              <w:rPr>
                <w:bCs/>
                <w:sz w:val="18"/>
                <w:szCs w:val="18"/>
              </w:rPr>
              <w:t>125.40 ± 7.63</w:t>
            </w:r>
          </w:p>
        </w:tc>
        <w:tc>
          <w:tcPr>
            <w:tcW w:w="900" w:type="dxa"/>
            <w:shd w:val="clear" w:color="auto" w:fill="auto"/>
          </w:tcPr>
          <w:p w14:paraId="22D9DEB5" w14:textId="77777777" w:rsidR="00E5498E" w:rsidRPr="00DD4046" w:rsidRDefault="00E5498E" w:rsidP="005108F9">
            <w:pPr>
              <w:rPr>
                <w:b/>
                <w:bCs/>
                <w:sz w:val="18"/>
                <w:szCs w:val="18"/>
              </w:rPr>
            </w:pPr>
            <w:r w:rsidRPr="00DD4046">
              <w:rPr>
                <w:bCs/>
                <w:sz w:val="18"/>
                <w:szCs w:val="18"/>
              </w:rPr>
              <w:t>122.80 ± 6.14</w:t>
            </w:r>
          </w:p>
        </w:tc>
        <w:tc>
          <w:tcPr>
            <w:tcW w:w="810" w:type="dxa"/>
            <w:shd w:val="clear" w:color="auto" w:fill="auto"/>
          </w:tcPr>
          <w:p w14:paraId="1B419734" w14:textId="77777777" w:rsidR="00E5498E" w:rsidRPr="00DD4046" w:rsidRDefault="00E5498E" w:rsidP="005108F9">
            <w:pPr>
              <w:rPr>
                <w:b/>
                <w:bCs/>
                <w:sz w:val="18"/>
                <w:szCs w:val="18"/>
              </w:rPr>
            </w:pPr>
            <w:r w:rsidRPr="00DD4046">
              <w:rPr>
                <w:bCs/>
                <w:sz w:val="18"/>
                <w:szCs w:val="18"/>
              </w:rPr>
              <w:t>120.80 ± 2.77</w:t>
            </w:r>
          </w:p>
        </w:tc>
        <w:tc>
          <w:tcPr>
            <w:tcW w:w="720" w:type="dxa"/>
            <w:shd w:val="clear" w:color="auto" w:fill="auto"/>
          </w:tcPr>
          <w:p w14:paraId="3E526A60" w14:textId="77777777" w:rsidR="00E5498E" w:rsidRPr="00DD4046" w:rsidRDefault="00E5498E" w:rsidP="005108F9">
            <w:pPr>
              <w:rPr>
                <w:b/>
                <w:bCs/>
                <w:sz w:val="18"/>
                <w:szCs w:val="18"/>
              </w:rPr>
            </w:pPr>
            <w:r w:rsidRPr="00DD4046">
              <w:rPr>
                <w:bCs/>
                <w:sz w:val="18"/>
                <w:szCs w:val="18"/>
              </w:rPr>
              <w:t>147.48 ± 1.94</w:t>
            </w:r>
          </w:p>
        </w:tc>
      </w:tr>
      <w:tr w:rsidR="00E5498E" w:rsidRPr="00DD4046" w14:paraId="3B7B35F9" w14:textId="77777777" w:rsidTr="005108F9">
        <w:tc>
          <w:tcPr>
            <w:tcW w:w="810" w:type="dxa"/>
            <w:shd w:val="clear" w:color="auto" w:fill="auto"/>
          </w:tcPr>
          <w:p w14:paraId="5C0902DC" w14:textId="77777777" w:rsidR="00E5498E" w:rsidRPr="00DD4046" w:rsidRDefault="00E5498E" w:rsidP="005108F9">
            <w:pPr>
              <w:rPr>
                <w:sz w:val="18"/>
                <w:szCs w:val="18"/>
              </w:rPr>
            </w:pPr>
            <w:r w:rsidRPr="00DD4046">
              <w:rPr>
                <w:sz w:val="18"/>
                <w:szCs w:val="18"/>
              </w:rPr>
              <w:t>Dapa+ Met</w:t>
            </w:r>
          </w:p>
        </w:tc>
        <w:tc>
          <w:tcPr>
            <w:tcW w:w="810" w:type="dxa"/>
            <w:shd w:val="clear" w:color="auto" w:fill="auto"/>
          </w:tcPr>
          <w:p w14:paraId="60BF8876" w14:textId="77777777" w:rsidR="00E5498E" w:rsidRPr="00DD4046" w:rsidRDefault="00E5498E" w:rsidP="005108F9">
            <w:pPr>
              <w:rPr>
                <w:b/>
                <w:bCs/>
                <w:color w:val="000000"/>
                <w:sz w:val="18"/>
                <w:szCs w:val="18"/>
              </w:rPr>
            </w:pPr>
            <w:r w:rsidRPr="00DD4046">
              <w:rPr>
                <w:bCs/>
                <w:color w:val="000000"/>
                <w:sz w:val="18"/>
                <w:szCs w:val="18"/>
              </w:rPr>
              <w:t xml:space="preserve">215.40 </w:t>
            </w:r>
            <w:r w:rsidRPr="00DD4046">
              <w:rPr>
                <w:bCs/>
                <w:sz w:val="18"/>
                <w:szCs w:val="18"/>
              </w:rPr>
              <w:t>± 4.50</w:t>
            </w:r>
          </w:p>
        </w:tc>
        <w:tc>
          <w:tcPr>
            <w:tcW w:w="900" w:type="dxa"/>
            <w:shd w:val="clear" w:color="auto" w:fill="auto"/>
          </w:tcPr>
          <w:p w14:paraId="2EE30F34" w14:textId="77777777" w:rsidR="00E5498E" w:rsidRPr="00DD4046" w:rsidRDefault="00E5498E" w:rsidP="005108F9">
            <w:pPr>
              <w:rPr>
                <w:b/>
                <w:bCs/>
                <w:color w:val="000000"/>
                <w:sz w:val="18"/>
                <w:szCs w:val="18"/>
              </w:rPr>
            </w:pPr>
            <w:r w:rsidRPr="00DD4046">
              <w:rPr>
                <w:bCs/>
                <w:color w:val="000000"/>
                <w:sz w:val="18"/>
                <w:szCs w:val="18"/>
              </w:rPr>
              <w:t xml:space="preserve">151.40 </w:t>
            </w:r>
            <w:r w:rsidRPr="00DD4046">
              <w:rPr>
                <w:bCs/>
                <w:sz w:val="18"/>
                <w:szCs w:val="18"/>
              </w:rPr>
              <w:t>± 3.43</w:t>
            </w:r>
          </w:p>
        </w:tc>
        <w:tc>
          <w:tcPr>
            <w:tcW w:w="810" w:type="dxa"/>
            <w:shd w:val="clear" w:color="auto" w:fill="auto"/>
          </w:tcPr>
          <w:p w14:paraId="57CB0CCA" w14:textId="77777777" w:rsidR="00E5498E" w:rsidRPr="00DD4046" w:rsidRDefault="00E5498E" w:rsidP="005108F9">
            <w:pPr>
              <w:rPr>
                <w:b/>
                <w:bCs/>
                <w:color w:val="000000"/>
                <w:sz w:val="18"/>
                <w:szCs w:val="18"/>
              </w:rPr>
            </w:pPr>
            <w:r w:rsidRPr="00DD4046">
              <w:rPr>
                <w:bCs/>
                <w:color w:val="000000"/>
                <w:sz w:val="18"/>
                <w:szCs w:val="18"/>
              </w:rPr>
              <w:t xml:space="preserve">142.80 </w:t>
            </w:r>
            <w:r w:rsidRPr="00DD4046">
              <w:rPr>
                <w:bCs/>
                <w:sz w:val="18"/>
                <w:szCs w:val="18"/>
              </w:rPr>
              <w:t>± 4.71</w:t>
            </w:r>
          </w:p>
        </w:tc>
        <w:tc>
          <w:tcPr>
            <w:tcW w:w="900" w:type="dxa"/>
            <w:shd w:val="clear" w:color="auto" w:fill="auto"/>
          </w:tcPr>
          <w:p w14:paraId="23B6857D" w14:textId="77777777" w:rsidR="00E5498E" w:rsidRPr="00DD4046" w:rsidRDefault="00E5498E" w:rsidP="005108F9">
            <w:pPr>
              <w:rPr>
                <w:b/>
                <w:bCs/>
                <w:color w:val="000000"/>
                <w:sz w:val="18"/>
                <w:szCs w:val="18"/>
              </w:rPr>
            </w:pPr>
            <w:r w:rsidRPr="00DD4046">
              <w:rPr>
                <w:bCs/>
                <w:color w:val="000000"/>
                <w:sz w:val="18"/>
                <w:szCs w:val="18"/>
              </w:rPr>
              <w:t xml:space="preserve">135.00 </w:t>
            </w:r>
            <w:r w:rsidRPr="00DD4046">
              <w:rPr>
                <w:bCs/>
                <w:sz w:val="18"/>
                <w:szCs w:val="18"/>
              </w:rPr>
              <w:t>± 4.18</w:t>
            </w:r>
          </w:p>
        </w:tc>
        <w:tc>
          <w:tcPr>
            <w:tcW w:w="810" w:type="dxa"/>
            <w:shd w:val="clear" w:color="auto" w:fill="auto"/>
          </w:tcPr>
          <w:p w14:paraId="2C2BD9AA" w14:textId="77777777" w:rsidR="00E5498E" w:rsidRPr="00DD4046" w:rsidRDefault="00E5498E" w:rsidP="005108F9">
            <w:pPr>
              <w:rPr>
                <w:b/>
                <w:bCs/>
                <w:color w:val="000000"/>
                <w:sz w:val="18"/>
                <w:szCs w:val="18"/>
              </w:rPr>
            </w:pPr>
            <w:r w:rsidRPr="00DD4046">
              <w:rPr>
                <w:bCs/>
                <w:color w:val="000000"/>
                <w:sz w:val="18"/>
                <w:szCs w:val="18"/>
              </w:rPr>
              <w:t xml:space="preserve">124.80 </w:t>
            </w:r>
            <w:r w:rsidRPr="00DD4046">
              <w:rPr>
                <w:bCs/>
                <w:sz w:val="18"/>
                <w:szCs w:val="18"/>
              </w:rPr>
              <w:t>± 1.92</w:t>
            </w:r>
          </w:p>
        </w:tc>
        <w:tc>
          <w:tcPr>
            <w:tcW w:w="810" w:type="dxa"/>
            <w:shd w:val="clear" w:color="auto" w:fill="auto"/>
          </w:tcPr>
          <w:p w14:paraId="294A0CA6" w14:textId="77777777" w:rsidR="00E5498E" w:rsidRPr="00DD4046" w:rsidRDefault="00E5498E" w:rsidP="005108F9">
            <w:pPr>
              <w:rPr>
                <w:b/>
                <w:bCs/>
                <w:color w:val="000000"/>
                <w:sz w:val="18"/>
                <w:szCs w:val="18"/>
              </w:rPr>
            </w:pPr>
            <w:r w:rsidRPr="00DD4046">
              <w:rPr>
                <w:bCs/>
                <w:color w:val="000000"/>
                <w:sz w:val="18"/>
                <w:szCs w:val="18"/>
              </w:rPr>
              <w:t xml:space="preserve">104.60 </w:t>
            </w:r>
            <w:r w:rsidRPr="00DD4046">
              <w:rPr>
                <w:bCs/>
                <w:sz w:val="18"/>
                <w:szCs w:val="18"/>
              </w:rPr>
              <w:t>± 9.65</w:t>
            </w:r>
          </w:p>
        </w:tc>
        <w:tc>
          <w:tcPr>
            <w:tcW w:w="900" w:type="dxa"/>
            <w:shd w:val="clear" w:color="auto" w:fill="auto"/>
          </w:tcPr>
          <w:p w14:paraId="18D4177F" w14:textId="77777777" w:rsidR="00E5498E" w:rsidRPr="00DD4046" w:rsidRDefault="00E5498E" w:rsidP="005108F9">
            <w:pPr>
              <w:rPr>
                <w:b/>
                <w:bCs/>
                <w:color w:val="000000"/>
                <w:sz w:val="18"/>
                <w:szCs w:val="18"/>
              </w:rPr>
            </w:pPr>
            <w:r w:rsidRPr="00DD4046">
              <w:rPr>
                <w:bCs/>
                <w:color w:val="000000"/>
                <w:sz w:val="18"/>
                <w:szCs w:val="18"/>
              </w:rPr>
              <w:t xml:space="preserve">94.40 </w:t>
            </w:r>
            <w:r w:rsidRPr="00DD4046">
              <w:rPr>
                <w:bCs/>
                <w:sz w:val="18"/>
                <w:szCs w:val="18"/>
              </w:rPr>
              <w:t>± 2.88</w:t>
            </w:r>
          </w:p>
        </w:tc>
        <w:tc>
          <w:tcPr>
            <w:tcW w:w="810" w:type="dxa"/>
            <w:shd w:val="clear" w:color="auto" w:fill="auto"/>
          </w:tcPr>
          <w:p w14:paraId="1B9618CA" w14:textId="77777777" w:rsidR="00E5498E" w:rsidRPr="00DD4046" w:rsidRDefault="00E5498E" w:rsidP="005108F9">
            <w:pPr>
              <w:rPr>
                <w:b/>
                <w:bCs/>
                <w:color w:val="000000"/>
                <w:sz w:val="18"/>
                <w:szCs w:val="18"/>
              </w:rPr>
            </w:pPr>
            <w:r w:rsidRPr="00DD4046">
              <w:rPr>
                <w:bCs/>
                <w:color w:val="000000"/>
                <w:sz w:val="18"/>
                <w:szCs w:val="18"/>
              </w:rPr>
              <w:t xml:space="preserve">90.80 </w:t>
            </w:r>
            <w:r w:rsidRPr="00DD4046">
              <w:rPr>
                <w:bCs/>
                <w:sz w:val="18"/>
                <w:szCs w:val="18"/>
              </w:rPr>
              <w:t>± 2.58</w:t>
            </w:r>
          </w:p>
        </w:tc>
        <w:tc>
          <w:tcPr>
            <w:tcW w:w="720" w:type="dxa"/>
            <w:shd w:val="clear" w:color="auto" w:fill="auto"/>
          </w:tcPr>
          <w:p w14:paraId="6841B2F4" w14:textId="77777777" w:rsidR="00E5498E" w:rsidRPr="00DD4046" w:rsidRDefault="00E5498E" w:rsidP="005108F9">
            <w:pPr>
              <w:rPr>
                <w:b/>
                <w:bCs/>
                <w:color w:val="000000"/>
                <w:sz w:val="18"/>
                <w:szCs w:val="18"/>
              </w:rPr>
            </w:pPr>
            <w:r w:rsidRPr="00DD4046">
              <w:rPr>
                <w:bCs/>
                <w:color w:val="000000"/>
                <w:sz w:val="18"/>
                <w:szCs w:val="18"/>
              </w:rPr>
              <w:t>132.40 ± 1.67</w:t>
            </w:r>
          </w:p>
        </w:tc>
      </w:tr>
      <w:tr w:rsidR="00E5498E" w:rsidRPr="00DD4046" w14:paraId="37AD82BB" w14:textId="77777777" w:rsidTr="005108F9">
        <w:tc>
          <w:tcPr>
            <w:tcW w:w="810" w:type="dxa"/>
            <w:shd w:val="clear" w:color="auto" w:fill="auto"/>
          </w:tcPr>
          <w:p w14:paraId="00D26A8D" w14:textId="77777777" w:rsidR="00E5498E" w:rsidRPr="00DD4046" w:rsidRDefault="00E5498E" w:rsidP="005108F9">
            <w:pPr>
              <w:rPr>
                <w:sz w:val="18"/>
                <w:szCs w:val="18"/>
              </w:rPr>
            </w:pPr>
            <w:r w:rsidRPr="00DD4046">
              <w:rPr>
                <w:sz w:val="18"/>
                <w:szCs w:val="18"/>
              </w:rPr>
              <w:t>Dapa+ Saxa</w:t>
            </w:r>
          </w:p>
        </w:tc>
        <w:tc>
          <w:tcPr>
            <w:tcW w:w="810" w:type="dxa"/>
            <w:shd w:val="clear" w:color="auto" w:fill="auto"/>
          </w:tcPr>
          <w:p w14:paraId="234E5594" w14:textId="77777777" w:rsidR="00E5498E" w:rsidRPr="00DD4046" w:rsidRDefault="00E5498E" w:rsidP="005108F9">
            <w:pPr>
              <w:rPr>
                <w:b/>
                <w:bCs/>
                <w:sz w:val="18"/>
                <w:szCs w:val="18"/>
              </w:rPr>
            </w:pPr>
            <w:r w:rsidRPr="00DD4046">
              <w:rPr>
                <w:bCs/>
                <w:sz w:val="18"/>
                <w:szCs w:val="18"/>
              </w:rPr>
              <w:t>216.00</w:t>
            </w:r>
          </w:p>
          <w:p w14:paraId="0F35C4A5" w14:textId="77777777" w:rsidR="00E5498E" w:rsidRPr="00DD4046" w:rsidRDefault="00E5498E" w:rsidP="005108F9">
            <w:pPr>
              <w:rPr>
                <w:b/>
                <w:bCs/>
                <w:color w:val="000000"/>
                <w:sz w:val="18"/>
                <w:szCs w:val="18"/>
              </w:rPr>
            </w:pPr>
            <w:r w:rsidRPr="00DD4046">
              <w:rPr>
                <w:bCs/>
                <w:sz w:val="18"/>
                <w:szCs w:val="18"/>
              </w:rPr>
              <w:t>± 2.91</w:t>
            </w:r>
          </w:p>
        </w:tc>
        <w:tc>
          <w:tcPr>
            <w:tcW w:w="900" w:type="dxa"/>
            <w:shd w:val="clear" w:color="auto" w:fill="auto"/>
          </w:tcPr>
          <w:p w14:paraId="1CC59D90" w14:textId="77777777" w:rsidR="00E5498E" w:rsidRPr="00DD4046" w:rsidRDefault="00E5498E" w:rsidP="005108F9">
            <w:pPr>
              <w:rPr>
                <w:b/>
                <w:bCs/>
                <w:sz w:val="18"/>
                <w:szCs w:val="18"/>
              </w:rPr>
            </w:pPr>
            <w:r w:rsidRPr="00DD4046">
              <w:rPr>
                <w:bCs/>
                <w:sz w:val="18"/>
                <w:szCs w:val="18"/>
              </w:rPr>
              <w:t>156.00</w:t>
            </w:r>
          </w:p>
          <w:p w14:paraId="643A4E34" w14:textId="77777777" w:rsidR="00E5498E" w:rsidRPr="00DD4046" w:rsidRDefault="00E5498E" w:rsidP="005108F9">
            <w:pPr>
              <w:rPr>
                <w:b/>
                <w:bCs/>
                <w:color w:val="000000"/>
                <w:sz w:val="18"/>
                <w:szCs w:val="18"/>
              </w:rPr>
            </w:pPr>
            <w:r w:rsidRPr="00DD4046">
              <w:rPr>
                <w:bCs/>
                <w:sz w:val="18"/>
                <w:szCs w:val="18"/>
              </w:rPr>
              <w:t>± 2.91</w:t>
            </w:r>
          </w:p>
        </w:tc>
        <w:tc>
          <w:tcPr>
            <w:tcW w:w="810" w:type="dxa"/>
            <w:shd w:val="clear" w:color="auto" w:fill="auto"/>
          </w:tcPr>
          <w:p w14:paraId="2BD6FB85" w14:textId="77777777" w:rsidR="00E5498E" w:rsidRPr="00DD4046" w:rsidRDefault="00E5498E" w:rsidP="005108F9">
            <w:pPr>
              <w:rPr>
                <w:b/>
                <w:bCs/>
                <w:color w:val="000000"/>
                <w:sz w:val="18"/>
                <w:szCs w:val="18"/>
              </w:rPr>
            </w:pPr>
            <w:r w:rsidRPr="00DD4046">
              <w:rPr>
                <w:bCs/>
                <w:sz w:val="18"/>
                <w:szCs w:val="18"/>
              </w:rPr>
              <w:t>144± 8.80</w:t>
            </w:r>
          </w:p>
        </w:tc>
        <w:tc>
          <w:tcPr>
            <w:tcW w:w="900" w:type="dxa"/>
            <w:shd w:val="clear" w:color="auto" w:fill="auto"/>
          </w:tcPr>
          <w:p w14:paraId="717BD835" w14:textId="77777777" w:rsidR="00E5498E" w:rsidRPr="00DD4046" w:rsidRDefault="00E5498E" w:rsidP="005108F9">
            <w:pPr>
              <w:rPr>
                <w:b/>
                <w:bCs/>
                <w:sz w:val="18"/>
                <w:szCs w:val="18"/>
              </w:rPr>
            </w:pPr>
            <w:r w:rsidRPr="00DD4046">
              <w:rPr>
                <w:bCs/>
                <w:sz w:val="18"/>
                <w:szCs w:val="18"/>
              </w:rPr>
              <w:t>131.20 ± 5.35</w:t>
            </w:r>
          </w:p>
        </w:tc>
        <w:tc>
          <w:tcPr>
            <w:tcW w:w="810" w:type="dxa"/>
            <w:shd w:val="clear" w:color="auto" w:fill="auto"/>
          </w:tcPr>
          <w:p w14:paraId="3722609E" w14:textId="77777777" w:rsidR="00E5498E" w:rsidRPr="00DD4046" w:rsidRDefault="00E5498E" w:rsidP="005108F9">
            <w:pPr>
              <w:rPr>
                <w:b/>
                <w:bCs/>
                <w:color w:val="000000"/>
                <w:sz w:val="18"/>
                <w:szCs w:val="18"/>
              </w:rPr>
            </w:pPr>
            <w:r w:rsidRPr="00DD4046">
              <w:rPr>
                <w:bCs/>
                <w:sz w:val="18"/>
                <w:szCs w:val="18"/>
              </w:rPr>
              <w:t>124.40 ± 3.36</w:t>
            </w:r>
          </w:p>
        </w:tc>
        <w:tc>
          <w:tcPr>
            <w:tcW w:w="810" w:type="dxa"/>
            <w:shd w:val="clear" w:color="auto" w:fill="auto"/>
          </w:tcPr>
          <w:p w14:paraId="3CE14E83" w14:textId="77777777" w:rsidR="00E5498E" w:rsidRPr="00DD4046" w:rsidRDefault="00E5498E" w:rsidP="005108F9">
            <w:pPr>
              <w:rPr>
                <w:b/>
                <w:bCs/>
                <w:color w:val="000000"/>
                <w:sz w:val="18"/>
                <w:szCs w:val="18"/>
              </w:rPr>
            </w:pPr>
            <w:r w:rsidRPr="00DD4046">
              <w:rPr>
                <w:bCs/>
                <w:sz w:val="18"/>
                <w:szCs w:val="18"/>
              </w:rPr>
              <w:t>114.00 ± 3.64</w:t>
            </w:r>
          </w:p>
        </w:tc>
        <w:tc>
          <w:tcPr>
            <w:tcW w:w="900" w:type="dxa"/>
            <w:shd w:val="clear" w:color="auto" w:fill="auto"/>
          </w:tcPr>
          <w:p w14:paraId="2A8DCB83" w14:textId="77777777" w:rsidR="00E5498E" w:rsidRPr="00DD4046" w:rsidRDefault="00E5498E" w:rsidP="005108F9">
            <w:pPr>
              <w:rPr>
                <w:b/>
                <w:bCs/>
                <w:color w:val="000000"/>
                <w:sz w:val="18"/>
                <w:szCs w:val="18"/>
              </w:rPr>
            </w:pPr>
            <w:r w:rsidRPr="00DD4046">
              <w:rPr>
                <w:bCs/>
                <w:sz w:val="18"/>
                <w:szCs w:val="18"/>
              </w:rPr>
              <w:t>116.00 ± 1.58</w:t>
            </w:r>
          </w:p>
        </w:tc>
        <w:tc>
          <w:tcPr>
            <w:tcW w:w="810" w:type="dxa"/>
            <w:shd w:val="clear" w:color="auto" w:fill="auto"/>
          </w:tcPr>
          <w:p w14:paraId="1CC524DA" w14:textId="77777777" w:rsidR="00E5498E" w:rsidRPr="00DD4046" w:rsidRDefault="00E5498E" w:rsidP="005108F9">
            <w:pPr>
              <w:rPr>
                <w:b/>
                <w:bCs/>
                <w:color w:val="000000"/>
                <w:sz w:val="18"/>
                <w:szCs w:val="18"/>
              </w:rPr>
            </w:pPr>
            <w:r w:rsidRPr="00DD4046">
              <w:rPr>
                <w:bCs/>
                <w:sz w:val="18"/>
                <w:szCs w:val="18"/>
              </w:rPr>
              <w:t>105.20 ± 2.58</w:t>
            </w:r>
          </w:p>
        </w:tc>
        <w:tc>
          <w:tcPr>
            <w:tcW w:w="720" w:type="dxa"/>
            <w:shd w:val="clear" w:color="auto" w:fill="auto"/>
          </w:tcPr>
          <w:p w14:paraId="522384E1" w14:textId="77777777" w:rsidR="00E5498E" w:rsidRPr="00DD4046" w:rsidRDefault="00E5498E" w:rsidP="005108F9">
            <w:pPr>
              <w:rPr>
                <w:b/>
                <w:bCs/>
                <w:sz w:val="18"/>
                <w:szCs w:val="18"/>
              </w:rPr>
            </w:pPr>
            <w:r w:rsidRPr="00DD4046">
              <w:rPr>
                <w:bCs/>
                <w:sz w:val="18"/>
                <w:szCs w:val="18"/>
              </w:rPr>
              <w:t>132.40 ± 1.67</w:t>
            </w:r>
          </w:p>
        </w:tc>
      </w:tr>
      <w:tr w:rsidR="00E5498E" w:rsidRPr="00DD4046" w14:paraId="2AC5230E" w14:textId="77777777" w:rsidTr="005108F9">
        <w:tc>
          <w:tcPr>
            <w:tcW w:w="810" w:type="dxa"/>
            <w:shd w:val="clear" w:color="auto" w:fill="auto"/>
          </w:tcPr>
          <w:p w14:paraId="167D155B" w14:textId="77777777" w:rsidR="00E5498E" w:rsidRPr="00DD4046" w:rsidRDefault="00E5498E" w:rsidP="005108F9">
            <w:pPr>
              <w:rPr>
                <w:sz w:val="18"/>
                <w:szCs w:val="18"/>
              </w:rPr>
            </w:pPr>
            <w:r w:rsidRPr="00DD4046">
              <w:rPr>
                <w:sz w:val="18"/>
                <w:szCs w:val="18"/>
              </w:rPr>
              <w:t>Dapa+ Gli</w:t>
            </w:r>
          </w:p>
        </w:tc>
        <w:tc>
          <w:tcPr>
            <w:tcW w:w="810" w:type="dxa"/>
            <w:shd w:val="clear" w:color="auto" w:fill="auto"/>
          </w:tcPr>
          <w:p w14:paraId="57A8FA3B" w14:textId="77777777" w:rsidR="00E5498E" w:rsidRPr="00DD4046" w:rsidRDefault="00E5498E" w:rsidP="005108F9">
            <w:pPr>
              <w:jc w:val="left"/>
              <w:rPr>
                <w:b/>
                <w:bCs/>
                <w:color w:val="000000"/>
                <w:sz w:val="18"/>
                <w:szCs w:val="18"/>
              </w:rPr>
            </w:pPr>
            <w:r w:rsidRPr="00DD4046">
              <w:rPr>
                <w:bCs/>
                <w:color w:val="000000"/>
                <w:sz w:val="18"/>
                <w:szCs w:val="18"/>
              </w:rPr>
              <w:t xml:space="preserve">222.20 </w:t>
            </w:r>
            <w:r w:rsidRPr="00DD4046">
              <w:rPr>
                <w:bCs/>
                <w:sz w:val="18"/>
                <w:szCs w:val="18"/>
              </w:rPr>
              <w:t>± 9.03</w:t>
            </w:r>
          </w:p>
        </w:tc>
        <w:tc>
          <w:tcPr>
            <w:tcW w:w="900" w:type="dxa"/>
            <w:shd w:val="clear" w:color="auto" w:fill="auto"/>
          </w:tcPr>
          <w:p w14:paraId="08948FCA" w14:textId="77777777" w:rsidR="00E5498E" w:rsidRPr="00DD4046" w:rsidRDefault="00E5498E" w:rsidP="005108F9">
            <w:pPr>
              <w:rPr>
                <w:b/>
                <w:bCs/>
                <w:color w:val="000000"/>
                <w:sz w:val="18"/>
                <w:szCs w:val="18"/>
              </w:rPr>
            </w:pPr>
            <w:r w:rsidRPr="00DD4046">
              <w:rPr>
                <w:bCs/>
                <w:color w:val="000000"/>
                <w:sz w:val="18"/>
                <w:szCs w:val="18"/>
              </w:rPr>
              <w:t xml:space="preserve">165.00 </w:t>
            </w:r>
            <w:r w:rsidRPr="00DD4046">
              <w:rPr>
                <w:bCs/>
                <w:sz w:val="18"/>
                <w:szCs w:val="18"/>
              </w:rPr>
              <w:t>± 5.59</w:t>
            </w:r>
          </w:p>
        </w:tc>
        <w:tc>
          <w:tcPr>
            <w:tcW w:w="810" w:type="dxa"/>
            <w:shd w:val="clear" w:color="auto" w:fill="auto"/>
          </w:tcPr>
          <w:p w14:paraId="465CF081" w14:textId="77777777" w:rsidR="00E5498E" w:rsidRPr="00DD4046" w:rsidRDefault="00E5498E" w:rsidP="005108F9">
            <w:pPr>
              <w:rPr>
                <w:b/>
                <w:bCs/>
                <w:color w:val="000000"/>
                <w:sz w:val="18"/>
                <w:szCs w:val="18"/>
              </w:rPr>
            </w:pPr>
            <w:r w:rsidRPr="00DD4046">
              <w:rPr>
                <w:bCs/>
                <w:color w:val="000000"/>
                <w:sz w:val="18"/>
                <w:szCs w:val="18"/>
              </w:rPr>
              <w:t xml:space="preserve">150.80 </w:t>
            </w:r>
            <w:r w:rsidRPr="00DD4046">
              <w:rPr>
                <w:bCs/>
                <w:sz w:val="18"/>
                <w:szCs w:val="18"/>
              </w:rPr>
              <w:t>± 2.58</w:t>
            </w:r>
          </w:p>
        </w:tc>
        <w:tc>
          <w:tcPr>
            <w:tcW w:w="900" w:type="dxa"/>
            <w:shd w:val="clear" w:color="auto" w:fill="auto"/>
          </w:tcPr>
          <w:p w14:paraId="76836093" w14:textId="77777777" w:rsidR="00E5498E" w:rsidRPr="00DD4046" w:rsidRDefault="00E5498E" w:rsidP="005108F9">
            <w:pPr>
              <w:rPr>
                <w:b/>
                <w:bCs/>
                <w:color w:val="000000"/>
                <w:sz w:val="18"/>
                <w:szCs w:val="18"/>
              </w:rPr>
            </w:pPr>
            <w:r w:rsidRPr="00DD4046">
              <w:rPr>
                <w:bCs/>
                <w:color w:val="000000"/>
                <w:sz w:val="18"/>
                <w:szCs w:val="18"/>
              </w:rPr>
              <w:t xml:space="preserve">134.00 </w:t>
            </w:r>
            <w:r w:rsidRPr="00DD4046">
              <w:rPr>
                <w:bCs/>
                <w:sz w:val="18"/>
                <w:szCs w:val="18"/>
              </w:rPr>
              <w:t>± 3.39</w:t>
            </w:r>
          </w:p>
        </w:tc>
        <w:tc>
          <w:tcPr>
            <w:tcW w:w="810" w:type="dxa"/>
            <w:shd w:val="clear" w:color="auto" w:fill="auto"/>
          </w:tcPr>
          <w:p w14:paraId="291CCDD5" w14:textId="77777777" w:rsidR="00E5498E" w:rsidRPr="00DD4046" w:rsidRDefault="00E5498E" w:rsidP="005108F9">
            <w:pPr>
              <w:rPr>
                <w:b/>
                <w:bCs/>
                <w:color w:val="000000"/>
                <w:sz w:val="18"/>
                <w:szCs w:val="18"/>
              </w:rPr>
            </w:pPr>
            <w:r w:rsidRPr="00DD4046">
              <w:rPr>
                <w:bCs/>
                <w:color w:val="000000"/>
                <w:sz w:val="18"/>
                <w:szCs w:val="18"/>
              </w:rPr>
              <w:t xml:space="preserve">128.20 </w:t>
            </w:r>
            <w:r w:rsidRPr="00DD4046">
              <w:rPr>
                <w:bCs/>
                <w:sz w:val="18"/>
                <w:szCs w:val="18"/>
              </w:rPr>
              <w:t>± 7.05</w:t>
            </w:r>
          </w:p>
        </w:tc>
        <w:tc>
          <w:tcPr>
            <w:tcW w:w="810" w:type="dxa"/>
            <w:shd w:val="clear" w:color="auto" w:fill="auto"/>
          </w:tcPr>
          <w:p w14:paraId="5111238B" w14:textId="77777777" w:rsidR="00E5498E" w:rsidRPr="00DD4046" w:rsidRDefault="00E5498E" w:rsidP="005108F9">
            <w:pPr>
              <w:rPr>
                <w:b/>
                <w:bCs/>
                <w:color w:val="000000"/>
                <w:sz w:val="18"/>
                <w:szCs w:val="18"/>
              </w:rPr>
            </w:pPr>
            <w:r w:rsidRPr="00DD4046">
              <w:rPr>
                <w:bCs/>
                <w:color w:val="000000"/>
                <w:sz w:val="18"/>
                <w:szCs w:val="18"/>
              </w:rPr>
              <w:t xml:space="preserve">124.40 </w:t>
            </w:r>
            <w:r w:rsidRPr="00DD4046">
              <w:rPr>
                <w:bCs/>
                <w:sz w:val="18"/>
                <w:szCs w:val="18"/>
              </w:rPr>
              <w:t>± 5.68</w:t>
            </w:r>
          </w:p>
        </w:tc>
        <w:tc>
          <w:tcPr>
            <w:tcW w:w="900" w:type="dxa"/>
            <w:shd w:val="clear" w:color="auto" w:fill="auto"/>
          </w:tcPr>
          <w:p w14:paraId="198D6A0F" w14:textId="77777777" w:rsidR="00E5498E" w:rsidRPr="00DD4046" w:rsidRDefault="00E5498E" w:rsidP="005108F9">
            <w:pPr>
              <w:rPr>
                <w:b/>
                <w:bCs/>
                <w:color w:val="000000"/>
                <w:sz w:val="18"/>
                <w:szCs w:val="18"/>
              </w:rPr>
            </w:pPr>
            <w:r w:rsidRPr="00DD4046">
              <w:rPr>
                <w:bCs/>
                <w:color w:val="000000"/>
                <w:sz w:val="18"/>
                <w:szCs w:val="18"/>
              </w:rPr>
              <w:t xml:space="preserve">120.80 </w:t>
            </w:r>
            <w:r w:rsidRPr="00DD4046">
              <w:rPr>
                <w:bCs/>
                <w:sz w:val="18"/>
                <w:szCs w:val="18"/>
              </w:rPr>
              <w:t>± 8.95</w:t>
            </w:r>
          </w:p>
        </w:tc>
        <w:tc>
          <w:tcPr>
            <w:tcW w:w="810" w:type="dxa"/>
            <w:shd w:val="clear" w:color="auto" w:fill="auto"/>
          </w:tcPr>
          <w:p w14:paraId="612A7DC4" w14:textId="77777777" w:rsidR="00E5498E" w:rsidRPr="00DD4046" w:rsidRDefault="00E5498E" w:rsidP="005108F9">
            <w:pPr>
              <w:jc w:val="left"/>
              <w:rPr>
                <w:b/>
                <w:sz w:val="18"/>
                <w:szCs w:val="18"/>
              </w:rPr>
            </w:pPr>
            <w:r w:rsidRPr="00DD4046">
              <w:rPr>
                <w:sz w:val="18"/>
                <w:szCs w:val="18"/>
              </w:rPr>
              <w:t xml:space="preserve">115.20 </w:t>
            </w:r>
            <w:r w:rsidRPr="00DD4046">
              <w:rPr>
                <w:bCs/>
                <w:sz w:val="18"/>
                <w:szCs w:val="18"/>
              </w:rPr>
              <w:t>± 3.96</w:t>
            </w:r>
          </w:p>
        </w:tc>
        <w:tc>
          <w:tcPr>
            <w:tcW w:w="720" w:type="dxa"/>
            <w:shd w:val="clear" w:color="auto" w:fill="auto"/>
          </w:tcPr>
          <w:p w14:paraId="3627AA83" w14:textId="77777777" w:rsidR="00E5498E" w:rsidRPr="00DD4046" w:rsidRDefault="00E5498E" w:rsidP="005108F9">
            <w:pPr>
              <w:rPr>
                <w:b/>
                <w:sz w:val="18"/>
                <w:szCs w:val="18"/>
              </w:rPr>
            </w:pPr>
            <w:r w:rsidRPr="00DD4046">
              <w:rPr>
                <w:sz w:val="18"/>
                <w:szCs w:val="18"/>
              </w:rPr>
              <w:t>145.0 ± 4.66</w:t>
            </w:r>
          </w:p>
        </w:tc>
      </w:tr>
      <w:tr w:rsidR="00E5498E" w:rsidRPr="00DD4046" w14:paraId="7242DBF4" w14:textId="77777777" w:rsidTr="005108F9">
        <w:tc>
          <w:tcPr>
            <w:tcW w:w="810" w:type="dxa"/>
            <w:shd w:val="clear" w:color="auto" w:fill="auto"/>
          </w:tcPr>
          <w:p w14:paraId="67DEA427" w14:textId="77777777" w:rsidR="00E5498E" w:rsidRPr="00DD4046" w:rsidRDefault="00E5498E" w:rsidP="005108F9">
            <w:pPr>
              <w:rPr>
                <w:sz w:val="18"/>
                <w:szCs w:val="18"/>
              </w:rPr>
            </w:pPr>
            <w:r w:rsidRPr="00DD4046">
              <w:rPr>
                <w:sz w:val="18"/>
                <w:szCs w:val="18"/>
              </w:rPr>
              <w:t>Dapa+ Met+ Saxa</w:t>
            </w:r>
          </w:p>
        </w:tc>
        <w:tc>
          <w:tcPr>
            <w:tcW w:w="810" w:type="dxa"/>
            <w:shd w:val="clear" w:color="auto" w:fill="auto"/>
          </w:tcPr>
          <w:p w14:paraId="634C64BA" w14:textId="77777777" w:rsidR="00E5498E" w:rsidRPr="00DD4046" w:rsidRDefault="00E5498E" w:rsidP="005108F9">
            <w:pPr>
              <w:rPr>
                <w:b/>
                <w:bCs/>
                <w:color w:val="000000"/>
                <w:sz w:val="18"/>
                <w:szCs w:val="18"/>
              </w:rPr>
            </w:pPr>
            <w:r w:rsidRPr="00DD4046">
              <w:rPr>
                <w:bCs/>
                <w:color w:val="000000"/>
                <w:sz w:val="18"/>
                <w:szCs w:val="18"/>
              </w:rPr>
              <w:t xml:space="preserve">223.60 </w:t>
            </w:r>
            <w:r w:rsidRPr="00DD4046">
              <w:rPr>
                <w:bCs/>
                <w:sz w:val="18"/>
                <w:szCs w:val="18"/>
              </w:rPr>
              <w:t>± 4.77</w:t>
            </w:r>
          </w:p>
        </w:tc>
        <w:tc>
          <w:tcPr>
            <w:tcW w:w="900" w:type="dxa"/>
            <w:shd w:val="clear" w:color="auto" w:fill="auto"/>
          </w:tcPr>
          <w:p w14:paraId="04C11761" w14:textId="77777777" w:rsidR="00E5498E" w:rsidRPr="00DD4046" w:rsidRDefault="00E5498E" w:rsidP="005108F9">
            <w:pPr>
              <w:rPr>
                <w:b/>
                <w:bCs/>
                <w:color w:val="000000"/>
                <w:sz w:val="18"/>
                <w:szCs w:val="18"/>
              </w:rPr>
            </w:pPr>
            <w:r w:rsidRPr="00DD4046">
              <w:rPr>
                <w:bCs/>
                <w:color w:val="000000"/>
                <w:sz w:val="18"/>
                <w:szCs w:val="18"/>
              </w:rPr>
              <w:t xml:space="preserve">168.60 </w:t>
            </w:r>
            <w:r w:rsidRPr="00DD4046">
              <w:rPr>
                <w:bCs/>
                <w:sz w:val="18"/>
                <w:szCs w:val="18"/>
              </w:rPr>
              <w:t>± 4.77</w:t>
            </w:r>
          </w:p>
        </w:tc>
        <w:tc>
          <w:tcPr>
            <w:tcW w:w="810" w:type="dxa"/>
            <w:shd w:val="clear" w:color="auto" w:fill="auto"/>
          </w:tcPr>
          <w:p w14:paraId="7EAA959D" w14:textId="77777777" w:rsidR="00E5498E" w:rsidRPr="00DD4046" w:rsidRDefault="00E5498E" w:rsidP="005108F9">
            <w:pPr>
              <w:rPr>
                <w:b/>
                <w:bCs/>
                <w:color w:val="000000"/>
                <w:sz w:val="18"/>
                <w:szCs w:val="18"/>
              </w:rPr>
            </w:pPr>
            <w:r w:rsidRPr="00DD4046">
              <w:rPr>
                <w:bCs/>
                <w:color w:val="000000"/>
                <w:sz w:val="18"/>
                <w:szCs w:val="18"/>
              </w:rPr>
              <w:t xml:space="preserve">133.80 </w:t>
            </w:r>
            <w:r w:rsidRPr="00DD4046">
              <w:rPr>
                <w:bCs/>
                <w:sz w:val="18"/>
                <w:szCs w:val="18"/>
              </w:rPr>
              <w:t>± 3.96</w:t>
            </w:r>
          </w:p>
        </w:tc>
        <w:tc>
          <w:tcPr>
            <w:tcW w:w="900" w:type="dxa"/>
            <w:shd w:val="clear" w:color="auto" w:fill="auto"/>
          </w:tcPr>
          <w:p w14:paraId="713A9CC5" w14:textId="77777777" w:rsidR="00E5498E" w:rsidRPr="00DD4046" w:rsidRDefault="00E5498E" w:rsidP="005108F9">
            <w:pPr>
              <w:rPr>
                <w:b/>
                <w:bCs/>
                <w:color w:val="000000"/>
                <w:sz w:val="18"/>
                <w:szCs w:val="18"/>
              </w:rPr>
            </w:pPr>
            <w:r w:rsidRPr="00DD4046">
              <w:rPr>
                <w:bCs/>
                <w:color w:val="000000"/>
                <w:sz w:val="18"/>
                <w:szCs w:val="18"/>
              </w:rPr>
              <w:t xml:space="preserve">112.00 </w:t>
            </w:r>
            <w:r w:rsidRPr="00DD4046">
              <w:rPr>
                <w:bCs/>
                <w:sz w:val="18"/>
                <w:szCs w:val="18"/>
              </w:rPr>
              <w:t>± 5.22</w:t>
            </w:r>
          </w:p>
        </w:tc>
        <w:tc>
          <w:tcPr>
            <w:tcW w:w="810" w:type="dxa"/>
            <w:shd w:val="clear" w:color="auto" w:fill="auto"/>
          </w:tcPr>
          <w:p w14:paraId="709D31C4" w14:textId="77777777" w:rsidR="00E5498E" w:rsidRPr="00DD4046" w:rsidRDefault="00E5498E" w:rsidP="005108F9">
            <w:pPr>
              <w:jc w:val="left"/>
              <w:rPr>
                <w:b/>
                <w:bCs/>
                <w:color w:val="000000"/>
                <w:sz w:val="18"/>
                <w:szCs w:val="18"/>
              </w:rPr>
            </w:pPr>
            <w:r w:rsidRPr="00DD4046">
              <w:rPr>
                <w:bCs/>
                <w:color w:val="000000"/>
                <w:sz w:val="18"/>
                <w:szCs w:val="18"/>
              </w:rPr>
              <w:t xml:space="preserve">105.80 </w:t>
            </w:r>
            <w:r w:rsidRPr="00DD4046">
              <w:rPr>
                <w:bCs/>
                <w:sz w:val="18"/>
                <w:szCs w:val="18"/>
              </w:rPr>
              <w:t>± 9.68</w:t>
            </w:r>
          </w:p>
        </w:tc>
        <w:tc>
          <w:tcPr>
            <w:tcW w:w="810" w:type="dxa"/>
            <w:shd w:val="clear" w:color="auto" w:fill="auto"/>
          </w:tcPr>
          <w:p w14:paraId="598B2450" w14:textId="77777777" w:rsidR="00E5498E" w:rsidRPr="00DD4046" w:rsidRDefault="00E5498E" w:rsidP="005108F9">
            <w:pPr>
              <w:rPr>
                <w:b/>
                <w:bCs/>
                <w:color w:val="000000"/>
                <w:sz w:val="18"/>
                <w:szCs w:val="18"/>
              </w:rPr>
            </w:pPr>
            <w:r w:rsidRPr="00DD4046">
              <w:rPr>
                <w:bCs/>
                <w:color w:val="000000"/>
                <w:sz w:val="18"/>
                <w:szCs w:val="18"/>
              </w:rPr>
              <w:t xml:space="preserve">99.00 </w:t>
            </w:r>
            <w:r w:rsidRPr="00DD4046">
              <w:rPr>
                <w:bCs/>
                <w:sz w:val="18"/>
                <w:szCs w:val="18"/>
              </w:rPr>
              <w:t>±13.13</w:t>
            </w:r>
          </w:p>
        </w:tc>
        <w:tc>
          <w:tcPr>
            <w:tcW w:w="900" w:type="dxa"/>
            <w:shd w:val="clear" w:color="auto" w:fill="auto"/>
          </w:tcPr>
          <w:p w14:paraId="49FCF17F" w14:textId="77777777" w:rsidR="00E5498E" w:rsidRPr="00DD4046" w:rsidRDefault="00E5498E" w:rsidP="005108F9">
            <w:pPr>
              <w:rPr>
                <w:b/>
                <w:bCs/>
                <w:color w:val="000000"/>
                <w:sz w:val="18"/>
                <w:szCs w:val="18"/>
              </w:rPr>
            </w:pPr>
            <w:r w:rsidRPr="00DD4046">
              <w:rPr>
                <w:bCs/>
                <w:color w:val="000000"/>
                <w:sz w:val="18"/>
                <w:szCs w:val="18"/>
              </w:rPr>
              <w:t xml:space="preserve">94.40 </w:t>
            </w:r>
            <w:r w:rsidRPr="00DD4046">
              <w:rPr>
                <w:bCs/>
                <w:sz w:val="18"/>
                <w:szCs w:val="18"/>
              </w:rPr>
              <w:t>± 8.29</w:t>
            </w:r>
          </w:p>
        </w:tc>
        <w:tc>
          <w:tcPr>
            <w:tcW w:w="810" w:type="dxa"/>
            <w:shd w:val="clear" w:color="auto" w:fill="auto"/>
          </w:tcPr>
          <w:p w14:paraId="07C96636" w14:textId="77777777" w:rsidR="00E5498E" w:rsidRPr="00DD4046" w:rsidRDefault="00E5498E" w:rsidP="005108F9">
            <w:pPr>
              <w:jc w:val="left"/>
              <w:rPr>
                <w:b/>
                <w:bCs/>
                <w:color w:val="000000"/>
                <w:sz w:val="18"/>
                <w:szCs w:val="18"/>
              </w:rPr>
            </w:pPr>
            <w:r w:rsidRPr="00DD4046">
              <w:rPr>
                <w:sz w:val="18"/>
                <w:szCs w:val="18"/>
              </w:rPr>
              <w:t xml:space="preserve">80.60 </w:t>
            </w:r>
            <w:r w:rsidRPr="00DD4046">
              <w:rPr>
                <w:bCs/>
                <w:sz w:val="18"/>
                <w:szCs w:val="18"/>
              </w:rPr>
              <w:t>± 6.80</w:t>
            </w:r>
          </w:p>
        </w:tc>
        <w:tc>
          <w:tcPr>
            <w:tcW w:w="720" w:type="dxa"/>
            <w:shd w:val="clear" w:color="auto" w:fill="auto"/>
          </w:tcPr>
          <w:p w14:paraId="5462ED9F" w14:textId="77777777" w:rsidR="00E5498E" w:rsidRPr="00DD4046" w:rsidRDefault="00E5498E" w:rsidP="005108F9">
            <w:pPr>
              <w:rPr>
                <w:b/>
                <w:sz w:val="18"/>
                <w:szCs w:val="18"/>
              </w:rPr>
            </w:pPr>
            <w:r w:rsidRPr="00DD4046">
              <w:rPr>
                <w:sz w:val="18"/>
                <w:szCs w:val="18"/>
              </w:rPr>
              <w:t>127.40 ± 30</w:t>
            </w:r>
          </w:p>
        </w:tc>
      </w:tr>
    </w:tbl>
    <w:p w14:paraId="427F8074" w14:textId="77777777" w:rsidR="00E5498E" w:rsidRPr="00E5498E" w:rsidRDefault="00E5498E" w:rsidP="00E5498E"/>
    <w:p w14:paraId="39D7E730" w14:textId="77777777" w:rsidR="00E5498E" w:rsidRPr="006F50EA" w:rsidRDefault="00E62B57" w:rsidP="00933FDB">
      <w:pPr>
        <w:pStyle w:val="FirstParagraph"/>
        <w:spacing w:after="120"/>
        <w:ind w:left="0"/>
      </w:pPr>
      <w:r w:rsidRPr="00B93B3C">
        <w:rPr>
          <w:rFonts w:eastAsia="Calibri"/>
        </w:rPr>
        <w:fldChar w:fldCharType="end"/>
      </w:r>
    </w:p>
    <w:p w14:paraId="54E82E9D" w14:textId="238ED6EC" w:rsidR="00E5498E" w:rsidRPr="006F50EA" w:rsidRDefault="00E5498E" w:rsidP="00933FDB">
      <w:pPr>
        <w:pStyle w:val="FirstParagraph"/>
        <w:spacing w:after="120"/>
        <w:ind w:left="0"/>
      </w:pPr>
    </w:p>
    <w:p w14:paraId="3D367D3F" w14:textId="559875B3" w:rsidR="00E5498E" w:rsidRPr="006F50EA" w:rsidRDefault="00E5498E" w:rsidP="00933FDB">
      <w:pPr>
        <w:pStyle w:val="FirstParagraph"/>
        <w:spacing w:after="120"/>
        <w:ind w:left="0"/>
      </w:pPr>
    </w:p>
    <w:p w14:paraId="5B9C42C4" w14:textId="7A698594" w:rsidR="00E5498E" w:rsidRPr="006F50EA" w:rsidRDefault="00E5498E" w:rsidP="00933FDB">
      <w:pPr>
        <w:pStyle w:val="FirstParagraph"/>
        <w:spacing w:after="120"/>
        <w:ind w:left="0"/>
      </w:pPr>
    </w:p>
    <w:p w14:paraId="37281351" w14:textId="24AEA929" w:rsidR="00E5498E" w:rsidRPr="006F50EA" w:rsidRDefault="00E5498E" w:rsidP="00933FDB">
      <w:pPr>
        <w:pStyle w:val="FirstParagraph"/>
        <w:spacing w:after="120"/>
        <w:ind w:left="0"/>
      </w:pPr>
    </w:p>
    <w:p w14:paraId="1E08AF3D" w14:textId="165E351B" w:rsidR="00E62B57" w:rsidRPr="006F50EA" w:rsidRDefault="00E62B57" w:rsidP="00933FDB">
      <w:pPr>
        <w:pStyle w:val="FirstParagraph"/>
        <w:spacing w:after="120"/>
        <w:ind w:left="0"/>
      </w:pPr>
    </w:p>
    <w:p w14:paraId="4E377161" w14:textId="77777777" w:rsidR="00DF5934" w:rsidRPr="00DF5934" w:rsidRDefault="00DF5934" w:rsidP="00DA7FA2">
      <w:pPr>
        <w:pStyle w:val="BodyText"/>
        <w:sectPr w:rsidR="00DF5934" w:rsidRPr="00DF5934" w:rsidSect="00325430">
          <w:type w:val="continuous"/>
          <w:pgSz w:w="11909" w:h="16834" w:code="9"/>
          <w:pgMar w:top="1440" w:right="1440" w:bottom="2016" w:left="1440" w:header="426" w:footer="720" w:gutter="0"/>
          <w:cols w:space="360"/>
          <w:docGrid w:linePitch="360"/>
        </w:sectPr>
      </w:pPr>
    </w:p>
    <w:p w14:paraId="4005753F" w14:textId="77777777" w:rsidR="002F5D38" w:rsidRPr="002F5D38" w:rsidRDefault="002F5D38" w:rsidP="00ED763D">
      <w:pPr>
        <w:ind w:firstLine="432"/>
        <w:jc w:val="both"/>
        <w:sectPr w:rsidR="002F5D38" w:rsidRPr="002F5D38" w:rsidSect="00325430">
          <w:type w:val="continuous"/>
          <w:pgSz w:w="11909" w:h="16834" w:code="9"/>
          <w:pgMar w:top="1440" w:right="1440" w:bottom="2016" w:left="1440" w:header="426" w:footer="720" w:gutter="0"/>
          <w:cols w:space="360"/>
          <w:docGrid w:linePitch="360"/>
        </w:sectPr>
      </w:pPr>
    </w:p>
    <w:p w14:paraId="2C6FD804" w14:textId="77777777" w:rsidR="00DF5934" w:rsidRDefault="00DF5934" w:rsidP="00ED763D">
      <w:pPr>
        <w:pStyle w:val="ListParagraph1"/>
        <w:spacing w:after="0" w:line="240" w:lineRule="auto"/>
        <w:ind w:left="0" w:firstLine="432"/>
        <w:jc w:val="both"/>
        <w:rPr>
          <w:rFonts w:ascii="Times New Roman" w:hAnsi="Times New Roman"/>
          <w:b/>
          <w:sz w:val="24"/>
          <w:szCs w:val="24"/>
        </w:rPr>
        <w:sectPr w:rsidR="00DF5934" w:rsidSect="00325430">
          <w:type w:val="continuous"/>
          <w:pgSz w:w="11909" w:h="16834" w:code="9"/>
          <w:pgMar w:top="1440" w:right="1440" w:bottom="2016" w:left="1440" w:header="426" w:footer="720" w:gutter="0"/>
          <w:cols w:space="360"/>
          <w:docGrid w:linePitch="360"/>
        </w:sectPr>
      </w:pPr>
    </w:p>
    <w:p w14:paraId="1053F812" w14:textId="77777777" w:rsidR="00DD4046" w:rsidRDefault="00DD4046" w:rsidP="00DD4046">
      <w:pPr>
        <w:pStyle w:val="ListParagraph1"/>
        <w:spacing w:after="0" w:line="240" w:lineRule="auto"/>
        <w:ind w:left="0" w:firstLine="432"/>
        <w:jc w:val="center"/>
        <w:rPr>
          <w:rFonts w:ascii="Times New Roman" w:hAnsi="Times New Roman"/>
          <w:b/>
          <w:bCs/>
          <w:sz w:val="20"/>
          <w:szCs w:val="20"/>
        </w:rPr>
      </w:pPr>
    </w:p>
    <w:p w14:paraId="5709EE53" w14:textId="28459438" w:rsidR="007711C6" w:rsidRDefault="007711C6" w:rsidP="00DD4046">
      <w:pPr>
        <w:pStyle w:val="ListParagraph1"/>
        <w:spacing w:after="0" w:line="240" w:lineRule="auto"/>
        <w:ind w:left="0" w:firstLine="432"/>
        <w:jc w:val="center"/>
        <w:rPr>
          <w:rFonts w:ascii="Times New Roman" w:hAnsi="Times New Roman"/>
          <w:b/>
          <w:bCs/>
          <w:sz w:val="20"/>
          <w:szCs w:val="20"/>
        </w:rPr>
      </w:pPr>
      <w:proofErr w:type="spellStart"/>
      <w:r>
        <w:rPr>
          <w:rFonts w:ascii="Times New Roman" w:hAnsi="Times New Roman"/>
          <w:b/>
          <w:bCs/>
          <w:sz w:val="20"/>
          <w:szCs w:val="20"/>
        </w:rPr>
        <w:t>Tabel</w:t>
      </w:r>
      <w:proofErr w:type="spellEnd"/>
      <w:r>
        <w:rPr>
          <w:rFonts w:ascii="Times New Roman" w:hAnsi="Times New Roman"/>
          <w:b/>
          <w:bCs/>
          <w:sz w:val="20"/>
          <w:szCs w:val="20"/>
        </w:rPr>
        <w:t xml:space="preserve"> 2. </w:t>
      </w:r>
      <w:r w:rsidRPr="007711C6">
        <w:rPr>
          <w:rFonts w:ascii="Times New Roman" w:hAnsi="Times New Roman"/>
          <w:b/>
          <w:bCs/>
          <w:sz w:val="20"/>
          <w:szCs w:val="20"/>
        </w:rPr>
        <w:t xml:space="preserve">Hasil </w:t>
      </w:r>
      <w:proofErr w:type="spellStart"/>
      <w:r>
        <w:rPr>
          <w:rFonts w:ascii="Times New Roman" w:hAnsi="Times New Roman"/>
          <w:b/>
          <w:bCs/>
          <w:sz w:val="20"/>
          <w:szCs w:val="20"/>
        </w:rPr>
        <w:t>Analisis</w:t>
      </w:r>
      <w:proofErr w:type="spellEnd"/>
      <w:r>
        <w:rPr>
          <w:rFonts w:ascii="Times New Roman" w:hAnsi="Times New Roman"/>
          <w:b/>
          <w:bCs/>
          <w:sz w:val="20"/>
          <w:szCs w:val="20"/>
        </w:rPr>
        <w:t xml:space="preserve"> One Way </w:t>
      </w:r>
      <w:proofErr w:type="spellStart"/>
      <w:r>
        <w:rPr>
          <w:rFonts w:ascii="Times New Roman" w:hAnsi="Times New Roman"/>
          <w:b/>
          <w:bCs/>
          <w:sz w:val="20"/>
          <w:szCs w:val="20"/>
        </w:rPr>
        <w:t>Anova</w:t>
      </w:r>
      <w:proofErr w:type="spellEnd"/>
      <w:r>
        <w:rPr>
          <w:rFonts w:ascii="Times New Roman" w:hAnsi="Times New Roman"/>
          <w:b/>
          <w:bCs/>
          <w:sz w:val="20"/>
          <w:szCs w:val="20"/>
        </w:rPr>
        <w:t xml:space="preserve"> </w:t>
      </w:r>
      <w:proofErr w:type="spellStart"/>
      <w:r>
        <w:rPr>
          <w:rFonts w:ascii="Times New Roman" w:hAnsi="Times New Roman"/>
          <w:b/>
          <w:bCs/>
          <w:sz w:val="20"/>
          <w:szCs w:val="20"/>
        </w:rPr>
        <w:t>penggunaan</w:t>
      </w:r>
      <w:proofErr w:type="spellEnd"/>
      <w:r>
        <w:rPr>
          <w:rFonts w:ascii="Times New Roman" w:hAnsi="Times New Roman"/>
          <w:b/>
          <w:bCs/>
          <w:sz w:val="20"/>
          <w:szCs w:val="20"/>
        </w:rPr>
        <w:t xml:space="preserve"> 7 </w:t>
      </w:r>
      <w:proofErr w:type="spellStart"/>
      <w:r>
        <w:rPr>
          <w:rFonts w:ascii="Times New Roman" w:hAnsi="Times New Roman"/>
          <w:b/>
          <w:bCs/>
          <w:sz w:val="20"/>
          <w:szCs w:val="20"/>
        </w:rPr>
        <w:t>hari</w:t>
      </w:r>
      <w:proofErr w:type="spellEnd"/>
    </w:p>
    <w:tbl>
      <w:tblPr>
        <w:tblStyle w:val="TableGrid"/>
        <w:tblW w:w="7648" w:type="dxa"/>
        <w:jc w:val="center"/>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1697"/>
        <w:gridCol w:w="1468"/>
        <w:gridCol w:w="1025"/>
        <w:gridCol w:w="1408"/>
        <w:gridCol w:w="1025"/>
        <w:gridCol w:w="1025"/>
      </w:tblGrid>
      <w:tr w:rsidR="007711C6" w:rsidRPr="00784B23" w14:paraId="6731839F" w14:textId="77777777" w:rsidTr="007711C6">
        <w:trPr>
          <w:jc w:val="center"/>
        </w:trPr>
        <w:tc>
          <w:tcPr>
            <w:tcW w:w="1697" w:type="dxa"/>
            <w:shd w:val="clear" w:color="auto" w:fill="auto"/>
            <w:vAlign w:val="center"/>
          </w:tcPr>
          <w:p w14:paraId="297F8A77" w14:textId="77777777" w:rsidR="007711C6" w:rsidRPr="00DD4046" w:rsidRDefault="007711C6" w:rsidP="005108F9">
            <w:pPr>
              <w:autoSpaceDE w:val="0"/>
              <w:autoSpaceDN w:val="0"/>
              <w:adjustRightInd w:val="0"/>
              <w:spacing w:line="276" w:lineRule="auto"/>
              <w:jc w:val="left"/>
              <w:rPr>
                <w:b/>
                <w:sz w:val="18"/>
                <w:szCs w:val="18"/>
              </w:rPr>
            </w:pPr>
            <w:r w:rsidRPr="00DD4046">
              <w:rPr>
                <w:sz w:val="18"/>
                <w:szCs w:val="18"/>
              </w:rPr>
              <w:t>KGD 7 Hari</w:t>
            </w:r>
          </w:p>
        </w:tc>
        <w:tc>
          <w:tcPr>
            <w:tcW w:w="1468" w:type="dxa"/>
            <w:shd w:val="clear" w:color="auto" w:fill="auto"/>
            <w:vAlign w:val="center"/>
          </w:tcPr>
          <w:p w14:paraId="1CEFCAB4" w14:textId="77777777" w:rsidR="007711C6" w:rsidRPr="00DD4046" w:rsidRDefault="007711C6" w:rsidP="005108F9">
            <w:pPr>
              <w:autoSpaceDE w:val="0"/>
              <w:autoSpaceDN w:val="0"/>
              <w:adjustRightInd w:val="0"/>
              <w:spacing w:line="276" w:lineRule="auto"/>
              <w:ind w:left="60" w:right="60"/>
              <w:jc w:val="left"/>
              <w:rPr>
                <w:b/>
                <w:sz w:val="18"/>
                <w:szCs w:val="18"/>
              </w:rPr>
            </w:pPr>
            <w:r w:rsidRPr="00DD4046">
              <w:rPr>
                <w:sz w:val="18"/>
                <w:szCs w:val="18"/>
              </w:rPr>
              <w:t>Sum of Squares</w:t>
            </w:r>
          </w:p>
        </w:tc>
        <w:tc>
          <w:tcPr>
            <w:tcW w:w="1025" w:type="dxa"/>
            <w:shd w:val="clear" w:color="auto" w:fill="auto"/>
            <w:vAlign w:val="center"/>
          </w:tcPr>
          <w:p w14:paraId="36401C34" w14:textId="7221C049" w:rsidR="007711C6" w:rsidRPr="00DD4046" w:rsidRDefault="007711C6" w:rsidP="005108F9">
            <w:pPr>
              <w:autoSpaceDE w:val="0"/>
              <w:autoSpaceDN w:val="0"/>
              <w:adjustRightInd w:val="0"/>
              <w:spacing w:line="276" w:lineRule="auto"/>
              <w:ind w:right="60"/>
              <w:jc w:val="left"/>
              <w:rPr>
                <w:b/>
                <w:sz w:val="18"/>
                <w:szCs w:val="18"/>
              </w:rPr>
            </w:pPr>
            <w:r w:rsidRPr="00DD4046">
              <w:rPr>
                <w:sz w:val="18"/>
                <w:szCs w:val="18"/>
              </w:rPr>
              <w:t>F</w:t>
            </w:r>
          </w:p>
        </w:tc>
        <w:tc>
          <w:tcPr>
            <w:tcW w:w="1408" w:type="dxa"/>
            <w:shd w:val="clear" w:color="auto" w:fill="auto"/>
            <w:vAlign w:val="center"/>
          </w:tcPr>
          <w:p w14:paraId="5486D54D" w14:textId="77777777" w:rsidR="007711C6" w:rsidRPr="00DD4046" w:rsidRDefault="007711C6" w:rsidP="005108F9">
            <w:pPr>
              <w:autoSpaceDE w:val="0"/>
              <w:autoSpaceDN w:val="0"/>
              <w:adjustRightInd w:val="0"/>
              <w:spacing w:line="276" w:lineRule="auto"/>
              <w:ind w:left="60" w:right="60"/>
              <w:jc w:val="left"/>
              <w:rPr>
                <w:b/>
                <w:sz w:val="18"/>
                <w:szCs w:val="18"/>
              </w:rPr>
            </w:pPr>
            <w:r w:rsidRPr="00DD4046">
              <w:rPr>
                <w:sz w:val="18"/>
                <w:szCs w:val="18"/>
              </w:rPr>
              <w:t>Mean Square</w:t>
            </w:r>
          </w:p>
        </w:tc>
        <w:tc>
          <w:tcPr>
            <w:tcW w:w="1025" w:type="dxa"/>
            <w:shd w:val="clear" w:color="auto" w:fill="auto"/>
            <w:vAlign w:val="center"/>
          </w:tcPr>
          <w:p w14:paraId="53B1BFB7" w14:textId="77777777" w:rsidR="007711C6" w:rsidRPr="00DD4046" w:rsidRDefault="007711C6" w:rsidP="005108F9">
            <w:pPr>
              <w:autoSpaceDE w:val="0"/>
              <w:autoSpaceDN w:val="0"/>
              <w:adjustRightInd w:val="0"/>
              <w:spacing w:line="276" w:lineRule="auto"/>
              <w:ind w:right="60"/>
              <w:jc w:val="left"/>
              <w:rPr>
                <w:b/>
                <w:sz w:val="18"/>
                <w:szCs w:val="18"/>
              </w:rPr>
            </w:pPr>
            <w:r w:rsidRPr="00DD4046">
              <w:rPr>
                <w:sz w:val="18"/>
                <w:szCs w:val="18"/>
              </w:rPr>
              <w:t>F</w:t>
            </w:r>
          </w:p>
        </w:tc>
        <w:tc>
          <w:tcPr>
            <w:tcW w:w="1025" w:type="dxa"/>
            <w:shd w:val="clear" w:color="auto" w:fill="auto"/>
            <w:vAlign w:val="center"/>
          </w:tcPr>
          <w:p w14:paraId="6514BA07" w14:textId="77777777" w:rsidR="007711C6" w:rsidRPr="00DD4046" w:rsidRDefault="007711C6" w:rsidP="005108F9">
            <w:pPr>
              <w:autoSpaceDE w:val="0"/>
              <w:autoSpaceDN w:val="0"/>
              <w:adjustRightInd w:val="0"/>
              <w:spacing w:line="276" w:lineRule="auto"/>
              <w:ind w:left="60" w:right="60"/>
              <w:jc w:val="left"/>
              <w:rPr>
                <w:b/>
                <w:sz w:val="18"/>
                <w:szCs w:val="18"/>
              </w:rPr>
            </w:pPr>
            <w:r w:rsidRPr="00DD4046">
              <w:rPr>
                <w:sz w:val="18"/>
                <w:szCs w:val="18"/>
              </w:rPr>
              <w:t>Sig.</w:t>
            </w:r>
          </w:p>
        </w:tc>
      </w:tr>
      <w:tr w:rsidR="007711C6" w:rsidRPr="00784B23" w14:paraId="79F57547" w14:textId="77777777" w:rsidTr="007711C6">
        <w:trPr>
          <w:jc w:val="center"/>
        </w:trPr>
        <w:tc>
          <w:tcPr>
            <w:tcW w:w="1697" w:type="dxa"/>
            <w:shd w:val="clear" w:color="auto" w:fill="auto"/>
            <w:vAlign w:val="center"/>
          </w:tcPr>
          <w:p w14:paraId="719345DF" w14:textId="77777777" w:rsidR="007711C6" w:rsidRPr="00DD4046" w:rsidRDefault="007711C6" w:rsidP="005108F9">
            <w:pPr>
              <w:autoSpaceDE w:val="0"/>
              <w:autoSpaceDN w:val="0"/>
              <w:adjustRightInd w:val="0"/>
              <w:spacing w:line="276" w:lineRule="auto"/>
              <w:ind w:left="60" w:right="60"/>
              <w:jc w:val="left"/>
              <w:rPr>
                <w:sz w:val="18"/>
                <w:szCs w:val="18"/>
              </w:rPr>
            </w:pPr>
            <w:r w:rsidRPr="00DD4046">
              <w:rPr>
                <w:sz w:val="18"/>
                <w:szCs w:val="18"/>
              </w:rPr>
              <w:t>Between Groups</w:t>
            </w:r>
          </w:p>
        </w:tc>
        <w:tc>
          <w:tcPr>
            <w:tcW w:w="1468" w:type="dxa"/>
            <w:shd w:val="clear" w:color="auto" w:fill="auto"/>
            <w:vAlign w:val="center"/>
          </w:tcPr>
          <w:p w14:paraId="39EC776B" w14:textId="77777777" w:rsidR="007711C6" w:rsidRPr="00DD4046" w:rsidRDefault="007711C6" w:rsidP="005108F9">
            <w:pPr>
              <w:autoSpaceDE w:val="0"/>
              <w:autoSpaceDN w:val="0"/>
              <w:adjustRightInd w:val="0"/>
              <w:spacing w:line="276" w:lineRule="auto"/>
              <w:ind w:left="60" w:right="60"/>
              <w:jc w:val="left"/>
              <w:rPr>
                <w:b/>
                <w:sz w:val="18"/>
                <w:szCs w:val="18"/>
              </w:rPr>
            </w:pPr>
            <w:r w:rsidRPr="00DD4046">
              <w:rPr>
                <w:sz w:val="18"/>
                <w:szCs w:val="18"/>
              </w:rPr>
              <w:t>1428.947</w:t>
            </w:r>
          </w:p>
        </w:tc>
        <w:tc>
          <w:tcPr>
            <w:tcW w:w="1025" w:type="dxa"/>
            <w:shd w:val="clear" w:color="auto" w:fill="auto"/>
            <w:vAlign w:val="center"/>
          </w:tcPr>
          <w:p w14:paraId="3FAE2401" w14:textId="77777777" w:rsidR="007711C6" w:rsidRPr="00DD4046" w:rsidRDefault="007711C6" w:rsidP="005108F9">
            <w:pPr>
              <w:autoSpaceDE w:val="0"/>
              <w:autoSpaceDN w:val="0"/>
              <w:adjustRightInd w:val="0"/>
              <w:spacing w:line="276" w:lineRule="auto"/>
              <w:ind w:right="60"/>
              <w:jc w:val="left"/>
              <w:rPr>
                <w:b/>
                <w:sz w:val="18"/>
                <w:szCs w:val="18"/>
              </w:rPr>
            </w:pPr>
            <w:r w:rsidRPr="00DD4046">
              <w:rPr>
                <w:sz w:val="18"/>
                <w:szCs w:val="18"/>
              </w:rPr>
              <w:t>4</w:t>
            </w:r>
          </w:p>
        </w:tc>
        <w:tc>
          <w:tcPr>
            <w:tcW w:w="1408" w:type="dxa"/>
            <w:shd w:val="clear" w:color="auto" w:fill="auto"/>
            <w:vAlign w:val="center"/>
          </w:tcPr>
          <w:p w14:paraId="16A815EE" w14:textId="77777777" w:rsidR="007711C6" w:rsidRPr="00DD4046" w:rsidRDefault="007711C6" w:rsidP="005108F9">
            <w:pPr>
              <w:autoSpaceDE w:val="0"/>
              <w:autoSpaceDN w:val="0"/>
              <w:adjustRightInd w:val="0"/>
              <w:spacing w:line="276" w:lineRule="auto"/>
              <w:ind w:left="60" w:right="60"/>
              <w:jc w:val="left"/>
              <w:rPr>
                <w:b/>
                <w:sz w:val="18"/>
                <w:szCs w:val="18"/>
              </w:rPr>
            </w:pPr>
            <w:r w:rsidRPr="00DD4046">
              <w:rPr>
                <w:sz w:val="18"/>
                <w:szCs w:val="18"/>
              </w:rPr>
              <w:t>357.237</w:t>
            </w:r>
          </w:p>
        </w:tc>
        <w:tc>
          <w:tcPr>
            <w:tcW w:w="1025" w:type="dxa"/>
            <w:shd w:val="clear" w:color="auto" w:fill="auto"/>
            <w:vAlign w:val="center"/>
          </w:tcPr>
          <w:p w14:paraId="495DFD96" w14:textId="77777777" w:rsidR="007711C6" w:rsidRPr="00DD4046" w:rsidRDefault="007711C6" w:rsidP="005108F9">
            <w:pPr>
              <w:autoSpaceDE w:val="0"/>
              <w:autoSpaceDN w:val="0"/>
              <w:adjustRightInd w:val="0"/>
              <w:spacing w:line="276" w:lineRule="auto"/>
              <w:ind w:left="60" w:right="60"/>
              <w:jc w:val="left"/>
              <w:rPr>
                <w:b/>
                <w:sz w:val="18"/>
                <w:szCs w:val="18"/>
              </w:rPr>
            </w:pPr>
            <w:r w:rsidRPr="00DD4046">
              <w:rPr>
                <w:sz w:val="18"/>
                <w:szCs w:val="18"/>
              </w:rPr>
              <w:t>41.913</w:t>
            </w:r>
          </w:p>
        </w:tc>
        <w:tc>
          <w:tcPr>
            <w:tcW w:w="1025" w:type="dxa"/>
            <w:shd w:val="clear" w:color="auto" w:fill="auto"/>
            <w:vAlign w:val="center"/>
          </w:tcPr>
          <w:p w14:paraId="35D65130" w14:textId="77777777" w:rsidR="007711C6" w:rsidRPr="00DD4046" w:rsidRDefault="007711C6" w:rsidP="005108F9">
            <w:pPr>
              <w:autoSpaceDE w:val="0"/>
              <w:autoSpaceDN w:val="0"/>
              <w:adjustRightInd w:val="0"/>
              <w:spacing w:line="276" w:lineRule="auto"/>
              <w:ind w:right="60"/>
              <w:jc w:val="left"/>
              <w:rPr>
                <w:b/>
                <w:sz w:val="18"/>
                <w:szCs w:val="18"/>
              </w:rPr>
            </w:pPr>
            <w:r w:rsidRPr="00DD4046">
              <w:rPr>
                <w:sz w:val="18"/>
                <w:szCs w:val="18"/>
              </w:rPr>
              <w:t>.000</w:t>
            </w:r>
          </w:p>
        </w:tc>
      </w:tr>
      <w:tr w:rsidR="007711C6" w:rsidRPr="00784B23" w14:paraId="6250DF02" w14:textId="77777777" w:rsidTr="007711C6">
        <w:trPr>
          <w:jc w:val="center"/>
        </w:trPr>
        <w:tc>
          <w:tcPr>
            <w:tcW w:w="1697" w:type="dxa"/>
            <w:shd w:val="clear" w:color="auto" w:fill="auto"/>
            <w:vAlign w:val="center"/>
          </w:tcPr>
          <w:p w14:paraId="58A112A3" w14:textId="77777777" w:rsidR="007711C6" w:rsidRPr="00DD4046" w:rsidRDefault="007711C6" w:rsidP="005108F9">
            <w:pPr>
              <w:autoSpaceDE w:val="0"/>
              <w:autoSpaceDN w:val="0"/>
              <w:adjustRightInd w:val="0"/>
              <w:spacing w:line="276" w:lineRule="auto"/>
              <w:ind w:left="60" w:right="60"/>
              <w:jc w:val="left"/>
              <w:rPr>
                <w:sz w:val="18"/>
                <w:szCs w:val="18"/>
              </w:rPr>
            </w:pPr>
            <w:r w:rsidRPr="00DD4046">
              <w:rPr>
                <w:sz w:val="18"/>
                <w:szCs w:val="18"/>
              </w:rPr>
              <w:t>Within Groups</w:t>
            </w:r>
          </w:p>
        </w:tc>
        <w:tc>
          <w:tcPr>
            <w:tcW w:w="1468" w:type="dxa"/>
            <w:shd w:val="clear" w:color="auto" w:fill="auto"/>
            <w:vAlign w:val="center"/>
          </w:tcPr>
          <w:p w14:paraId="3654DC25" w14:textId="77777777" w:rsidR="007711C6" w:rsidRPr="00DD4046" w:rsidRDefault="007711C6" w:rsidP="005108F9">
            <w:pPr>
              <w:autoSpaceDE w:val="0"/>
              <w:autoSpaceDN w:val="0"/>
              <w:adjustRightInd w:val="0"/>
              <w:spacing w:line="276" w:lineRule="auto"/>
              <w:ind w:left="60" w:right="60"/>
              <w:jc w:val="left"/>
              <w:rPr>
                <w:b/>
                <w:sz w:val="18"/>
                <w:szCs w:val="18"/>
              </w:rPr>
            </w:pPr>
            <w:r w:rsidRPr="00DD4046">
              <w:rPr>
                <w:sz w:val="18"/>
                <w:szCs w:val="18"/>
              </w:rPr>
              <w:t>170.465</w:t>
            </w:r>
          </w:p>
        </w:tc>
        <w:tc>
          <w:tcPr>
            <w:tcW w:w="1025" w:type="dxa"/>
            <w:shd w:val="clear" w:color="auto" w:fill="auto"/>
            <w:vAlign w:val="center"/>
          </w:tcPr>
          <w:p w14:paraId="708E449D" w14:textId="77777777" w:rsidR="007711C6" w:rsidRPr="00DD4046" w:rsidRDefault="007711C6" w:rsidP="005108F9">
            <w:pPr>
              <w:autoSpaceDE w:val="0"/>
              <w:autoSpaceDN w:val="0"/>
              <w:adjustRightInd w:val="0"/>
              <w:spacing w:line="276" w:lineRule="auto"/>
              <w:ind w:right="60"/>
              <w:jc w:val="left"/>
              <w:rPr>
                <w:b/>
                <w:sz w:val="18"/>
                <w:szCs w:val="18"/>
              </w:rPr>
            </w:pPr>
            <w:r w:rsidRPr="00DD4046">
              <w:rPr>
                <w:sz w:val="18"/>
                <w:szCs w:val="18"/>
              </w:rPr>
              <w:t>20</w:t>
            </w:r>
          </w:p>
        </w:tc>
        <w:tc>
          <w:tcPr>
            <w:tcW w:w="1408" w:type="dxa"/>
            <w:shd w:val="clear" w:color="auto" w:fill="auto"/>
            <w:vAlign w:val="center"/>
          </w:tcPr>
          <w:p w14:paraId="1CEB3EB0" w14:textId="77777777" w:rsidR="007711C6" w:rsidRPr="00DD4046" w:rsidRDefault="007711C6" w:rsidP="005108F9">
            <w:pPr>
              <w:autoSpaceDE w:val="0"/>
              <w:autoSpaceDN w:val="0"/>
              <w:adjustRightInd w:val="0"/>
              <w:spacing w:line="276" w:lineRule="auto"/>
              <w:ind w:left="60" w:right="60"/>
              <w:jc w:val="left"/>
              <w:rPr>
                <w:b/>
                <w:sz w:val="18"/>
                <w:szCs w:val="18"/>
              </w:rPr>
            </w:pPr>
            <w:r w:rsidRPr="00DD4046">
              <w:rPr>
                <w:sz w:val="18"/>
                <w:szCs w:val="18"/>
              </w:rPr>
              <w:t>8.523</w:t>
            </w:r>
          </w:p>
        </w:tc>
        <w:tc>
          <w:tcPr>
            <w:tcW w:w="1025" w:type="dxa"/>
            <w:shd w:val="clear" w:color="auto" w:fill="auto"/>
            <w:vAlign w:val="center"/>
          </w:tcPr>
          <w:p w14:paraId="07D09EF6" w14:textId="77777777" w:rsidR="007711C6" w:rsidRPr="00DD4046" w:rsidRDefault="007711C6" w:rsidP="005108F9">
            <w:pPr>
              <w:autoSpaceDE w:val="0"/>
              <w:autoSpaceDN w:val="0"/>
              <w:adjustRightInd w:val="0"/>
              <w:spacing w:line="276" w:lineRule="auto"/>
              <w:rPr>
                <w:b/>
                <w:sz w:val="18"/>
                <w:szCs w:val="18"/>
              </w:rPr>
            </w:pPr>
          </w:p>
        </w:tc>
        <w:tc>
          <w:tcPr>
            <w:tcW w:w="1025" w:type="dxa"/>
            <w:shd w:val="clear" w:color="auto" w:fill="auto"/>
            <w:vAlign w:val="center"/>
          </w:tcPr>
          <w:p w14:paraId="696EFF9B" w14:textId="77777777" w:rsidR="007711C6" w:rsidRPr="00DD4046" w:rsidRDefault="007711C6" w:rsidP="005108F9">
            <w:pPr>
              <w:autoSpaceDE w:val="0"/>
              <w:autoSpaceDN w:val="0"/>
              <w:adjustRightInd w:val="0"/>
              <w:spacing w:line="276" w:lineRule="auto"/>
              <w:rPr>
                <w:b/>
                <w:sz w:val="18"/>
                <w:szCs w:val="18"/>
              </w:rPr>
            </w:pPr>
          </w:p>
        </w:tc>
      </w:tr>
      <w:tr w:rsidR="007711C6" w:rsidRPr="00784B23" w14:paraId="78A7489C" w14:textId="77777777" w:rsidTr="007711C6">
        <w:trPr>
          <w:jc w:val="center"/>
        </w:trPr>
        <w:tc>
          <w:tcPr>
            <w:tcW w:w="1697" w:type="dxa"/>
            <w:shd w:val="clear" w:color="auto" w:fill="auto"/>
            <w:vAlign w:val="center"/>
          </w:tcPr>
          <w:p w14:paraId="538839AD" w14:textId="77777777" w:rsidR="007711C6" w:rsidRPr="00DD4046" w:rsidRDefault="007711C6" w:rsidP="005108F9">
            <w:pPr>
              <w:autoSpaceDE w:val="0"/>
              <w:autoSpaceDN w:val="0"/>
              <w:adjustRightInd w:val="0"/>
              <w:spacing w:line="276" w:lineRule="auto"/>
              <w:ind w:right="60"/>
              <w:jc w:val="left"/>
              <w:rPr>
                <w:sz w:val="18"/>
                <w:szCs w:val="18"/>
              </w:rPr>
            </w:pPr>
            <w:r w:rsidRPr="00DD4046">
              <w:rPr>
                <w:sz w:val="18"/>
                <w:szCs w:val="18"/>
              </w:rPr>
              <w:t>Total</w:t>
            </w:r>
          </w:p>
        </w:tc>
        <w:tc>
          <w:tcPr>
            <w:tcW w:w="1468" w:type="dxa"/>
            <w:shd w:val="clear" w:color="auto" w:fill="auto"/>
            <w:vAlign w:val="center"/>
          </w:tcPr>
          <w:p w14:paraId="2C19758B" w14:textId="77777777" w:rsidR="007711C6" w:rsidRPr="00DD4046" w:rsidRDefault="007711C6" w:rsidP="005108F9">
            <w:pPr>
              <w:autoSpaceDE w:val="0"/>
              <w:autoSpaceDN w:val="0"/>
              <w:adjustRightInd w:val="0"/>
              <w:spacing w:line="276" w:lineRule="auto"/>
              <w:ind w:left="60" w:right="60"/>
              <w:jc w:val="left"/>
              <w:rPr>
                <w:b/>
                <w:color w:val="010205"/>
                <w:sz w:val="18"/>
                <w:szCs w:val="18"/>
              </w:rPr>
            </w:pPr>
            <w:r w:rsidRPr="00DD4046">
              <w:rPr>
                <w:color w:val="010205"/>
                <w:sz w:val="18"/>
                <w:szCs w:val="18"/>
              </w:rPr>
              <w:t>1599.412</w:t>
            </w:r>
          </w:p>
        </w:tc>
        <w:tc>
          <w:tcPr>
            <w:tcW w:w="1025" w:type="dxa"/>
            <w:shd w:val="clear" w:color="auto" w:fill="auto"/>
            <w:vAlign w:val="center"/>
          </w:tcPr>
          <w:p w14:paraId="67BF2B36" w14:textId="77777777" w:rsidR="007711C6" w:rsidRPr="00DD4046" w:rsidRDefault="007711C6" w:rsidP="005108F9">
            <w:pPr>
              <w:autoSpaceDE w:val="0"/>
              <w:autoSpaceDN w:val="0"/>
              <w:adjustRightInd w:val="0"/>
              <w:spacing w:line="276" w:lineRule="auto"/>
              <w:ind w:right="60"/>
              <w:jc w:val="left"/>
              <w:rPr>
                <w:b/>
                <w:color w:val="010205"/>
                <w:sz w:val="18"/>
                <w:szCs w:val="18"/>
              </w:rPr>
            </w:pPr>
            <w:r w:rsidRPr="00DD4046">
              <w:rPr>
                <w:color w:val="010205"/>
                <w:sz w:val="18"/>
                <w:szCs w:val="18"/>
              </w:rPr>
              <w:t>24</w:t>
            </w:r>
          </w:p>
        </w:tc>
        <w:tc>
          <w:tcPr>
            <w:tcW w:w="1408" w:type="dxa"/>
            <w:shd w:val="clear" w:color="auto" w:fill="auto"/>
            <w:vAlign w:val="center"/>
          </w:tcPr>
          <w:p w14:paraId="2BE9AF07" w14:textId="77777777" w:rsidR="007711C6" w:rsidRPr="00DD4046" w:rsidRDefault="007711C6" w:rsidP="005108F9">
            <w:pPr>
              <w:autoSpaceDE w:val="0"/>
              <w:autoSpaceDN w:val="0"/>
              <w:adjustRightInd w:val="0"/>
              <w:spacing w:line="276" w:lineRule="auto"/>
              <w:rPr>
                <w:b/>
                <w:sz w:val="18"/>
                <w:szCs w:val="18"/>
              </w:rPr>
            </w:pPr>
          </w:p>
        </w:tc>
        <w:tc>
          <w:tcPr>
            <w:tcW w:w="1025" w:type="dxa"/>
            <w:shd w:val="clear" w:color="auto" w:fill="auto"/>
            <w:vAlign w:val="center"/>
          </w:tcPr>
          <w:p w14:paraId="3EEC7569" w14:textId="77777777" w:rsidR="007711C6" w:rsidRPr="00DD4046" w:rsidRDefault="007711C6" w:rsidP="005108F9">
            <w:pPr>
              <w:autoSpaceDE w:val="0"/>
              <w:autoSpaceDN w:val="0"/>
              <w:adjustRightInd w:val="0"/>
              <w:spacing w:line="276" w:lineRule="auto"/>
              <w:rPr>
                <w:b/>
                <w:sz w:val="18"/>
                <w:szCs w:val="18"/>
              </w:rPr>
            </w:pPr>
          </w:p>
        </w:tc>
        <w:tc>
          <w:tcPr>
            <w:tcW w:w="1025" w:type="dxa"/>
            <w:shd w:val="clear" w:color="auto" w:fill="auto"/>
            <w:vAlign w:val="center"/>
          </w:tcPr>
          <w:p w14:paraId="10611D22" w14:textId="77777777" w:rsidR="007711C6" w:rsidRPr="00DD4046" w:rsidRDefault="007711C6" w:rsidP="005108F9">
            <w:pPr>
              <w:autoSpaceDE w:val="0"/>
              <w:autoSpaceDN w:val="0"/>
              <w:adjustRightInd w:val="0"/>
              <w:spacing w:line="276" w:lineRule="auto"/>
              <w:rPr>
                <w:b/>
                <w:sz w:val="18"/>
                <w:szCs w:val="18"/>
              </w:rPr>
            </w:pPr>
          </w:p>
        </w:tc>
      </w:tr>
    </w:tbl>
    <w:p w14:paraId="502EA38F" w14:textId="77777777" w:rsidR="00DD4046" w:rsidRDefault="00DD4046" w:rsidP="00DD4046">
      <w:pPr>
        <w:pStyle w:val="ListParagraph1"/>
        <w:spacing w:after="0" w:line="240" w:lineRule="auto"/>
        <w:ind w:left="0"/>
        <w:jc w:val="center"/>
        <w:rPr>
          <w:rFonts w:ascii="Times New Roman" w:hAnsi="Times New Roman"/>
          <w:b/>
          <w:bCs/>
          <w:sz w:val="20"/>
          <w:szCs w:val="20"/>
        </w:rPr>
      </w:pPr>
    </w:p>
    <w:p w14:paraId="3D760E18" w14:textId="38E8A5D5" w:rsidR="00DD4046" w:rsidRDefault="007711C6" w:rsidP="00DD4046">
      <w:pPr>
        <w:pStyle w:val="ListParagraph1"/>
        <w:spacing w:after="0" w:line="240" w:lineRule="auto"/>
        <w:ind w:left="0"/>
        <w:jc w:val="center"/>
        <w:rPr>
          <w:rFonts w:ascii="Times New Roman" w:hAnsi="Times New Roman"/>
          <w:b/>
          <w:bCs/>
          <w:sz w:val="20"/>
          <w:szCs w:val="20"/>
        </w:rPr>
      </w:pPr>
      <w:proofErr w:type="spellStart"/>
      <w:r>
        <w:rPr>
          <w:rFonts w:ascii="Times New Roman" w:hAnsi="Times New Roman"/>
          <w:b/>
          <w:bCs/>
          <w:sz w:val="20"/>
          <w:szCs w:val="20"/>
        </w:rPr>
        <w:t>Tabel</w:t>
      </w:r>
      <w:proofErr w:type="spellEnd"/>
      <w:r>
        <w:rPr>
          <w:rFonts w:ascii="Times New Roman" w:hAnsi="Times New Roman"/>
          <w:b/>
          <w:bCs/>
          <w:sz w:val="20"/>
          <w:szCs w:val="20"/>
        </w:rPr>
        <w:t xml:space="preserve"> 3. </w:t>
      </w:r>
      <w:r w:rsidRPr="007711C6">
        <w:rPr>
          <w:rFonts w:ascii="Times New Roman" w:hAnsi="Times New Roman"/>
          <w:b/>
          <w:bCs/>
          <w:sz w:val="20"/>
          <w:szCs w:val="20"/>
        </w:rPr>
        <w:t>Hasil</w:t>
      </w:r>
      <w:r>
        <w:rPr>
          <w:rFonts w:ascii="Times New Roman" w:hAnsi="Times New Roman"/>
          <w:b/>
          <w:bCs/>
          <w:sz w:val="20"/>
          <w:szCs w:val="20"/>
        </w:rPr>
        <w:t xml:space="preserve"> </w:t>
      </w:r>
      <w:proofErr w:type="spellStart"/>
      <w:r>
        <w:rPr>
          <w:rFonts w:ascii="Times New Roman" w:hAnsi="Times New Roman"/>
          <w:b/>
          <w:bCs/>
          <w:sz w:val="20"/>
          <w:szCs w:val="20"/>
        </w:rPr>
        <w:t>Analisis</w:t>
      </w:r>
      <w:proofErr w:type="spellEnd"/>
      <w:r w:rsidRPr="007711C6">
        <w:rPr>
          <w:rFonts w:ascii="Times New Roman" w:hAnsi="Times New Roman"/>
          <w:b/>
          <w:bCs/>
          <w:sz w:val="20"/>
          <w:szCs w:val="20"/>
        </w:rPr>
        <w:t xml:space="preserve"> </w:t>
      </w:r>
      <w:r>
        <w:rPr>
          <w:rFonts w:ascii="Times New Roman" w:hAnsi="Times New Roman"/>
          <w:b/>
          <w:bCs/>
          <w:sz w:val="20"/>
          <w:szCs w:val="20"/>
        </w:rPr>
        <w:t>Pos hoc</w:t>
      </w:r>
    </w:p>
    <w:tbl>
      <w:tblPr>
        <w:tblStyle w:val="TableGrid"/>
        <w:tblW w:w="6426" w:type="dxa"/>
        <w:jc w:val="center"/>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1530"/>
        <w:gridCol w:w="2448"/>
        <w:gridCol w:w="2448"/>
      </w:tblGrid>
      <w:tr w:rsidR="00DD4046" w:rsidRPr="00784B23" w14:paraId="3571ADB1" w14:textId="77777777" w:rsidTr="005108F9">
        <w:trPr>
          <w:trHeight w:val="323"/>
          <w:jc w:val="center"/>
        </w:trPr>
        <w:tc>
          <w:tcPr>
            <w:tcW w:w="1530" w:type="dxa"/>
            <w:shd w:val="clear" w:color="auto" w:fill="auto"/>
            <w:vAlign w:val="center"/>
          </w:tcPr>
          <w:p w14:paraId="26B605E8" w14:textId="77777777" w:rsidR="00DD4046" w:rsidRPr="00784B23" w:rsidRDefault="00DD4046" w:rsidP="005108F9">
            <w:pPr>
              <w:autoSpaceDE w:val="0"/>
              <w:autoSpaceDN w:val="0"/>
              <w:adjustRightInd w:val="0"/>
              <w:spacing w:line="276" w:lineRule="auto"/>
              <w:ind w:left="60" w:right="60"/>
              <w:jc w:val="left"/>
              <w:rPr>
                <w:color w:val="000000" w:themeColor="text1"/>
                <w:sz w:val="18"/>
                <w:szCs w:val="18"/>
              </w:rPr>
            </w:pPr>
            <w:r w:rsidRPr="00784B23">
              <w:rPr>
                <w:color w:val="000000" w:themeColor="text1"/>
                <w:sz w:val="18"/>
                <w:szCs w:val="18"/>
              </w:rPr>
              <w:t xml:space="preserve">(I) </w:t>
            </w:r>
            <w:proofErr w:type="spellStart"/>
            <w:r w:rsidRPr="00784B23">
              <w:rPr>
                <w:color w:val="000000" w:themeColor="text1"/>
                <w:sz w:val="18"/>
                <w:szCs w:val="18"/>
              </w:rPr>
              <w:t>Perlakuan</w:t>
            </w:r>
            <w:proofErr w:type="spellEnd"/>
          </w:p>
        </w:tc>
        <w:tc>
          <w:tcPr>
            <w:tcW w:w="2448" w:type="dxa"/>
            <w:shd w:val="clear" w:color="auto" w:fill="auto"/>
            <w:vAlign w:val="center"/>
          </w:tcPr>
          <w:p w14:paraId="300D6EE6" w14:textId="77777777" w:rsidR="00DD4046" w:rsidRPr="00784B23" w:rsidRDefault="00DD4046" w:rsidP="005108F9">
            <w:pPr>
              <w:autoSpaceDE w:val="0"/>
              <w:autoSpaceDN w:val="0"/>
              <w:adjustRightInd w:val="0"/>
              <w:spacing w:line="276" w:lineRule="auto"/>
              <w:ind w:left="60" w:right="60"/>
              <w:rPr>
                <w:color w:val="000000" w:themeColor="text1"/>
                <w:sz w:val="18"/>
                <w:szCs w:val="18"/>
              </w:rPr>
            </w:pPr>
            <w:r w:rsidRPr="00784B23">
              <w:rPr>
                <w:color w:val="000000" w:themeColor="text1"/>
                <w:sz w:val="18"/>
                <w:szCs w:val="18"/>
              </w:rPr>
              <w:t xml:space="preserve">(J) </w:t>
            </w:r>
            <w:proofErr w:type="spellStart"/>
            <w:r w:rsidRPr="00784B23">
              <w:rPr>
                <w:color w:val="000000" w:themeColor="text1"/>
                <w:sz w:val="18"/>
                <w:szCs w:val="18"/>
              </w:rPr>
              <w:t>Perlakuan</w:t>
            </w:r>
            <w:proofErr w:type="spellEnd"/>
          </w:p>
        </w:tc>
        <w:tc>
          <w:tcPr>
            <w:tcW w:w="2448" w:type="dxa"/>
            <w:shd w:val="clear" w:color="auto" w:fill="auto"/>
            <w:vAlign w:val="center"/>
          </w:tcPr>
          <w:p w14:paraId="0E6435D4" w14:textId="0C35E057" w:rsidR="00DD4046" w:rsidRPr="00784B23" w:rsidRDefault="00A059EB" w:rsidP="005108F9">
            <w:pPr>
              <w:autoSpaceDE w:val="0"/>
              <w:autoSpaceDN w:val="0"/>
              <w:adjustRightInd w:val="0"/>
              <w:spacing w:line="276" w:lineRule="auto"/>
              <w:ind w:right="60"/>
              <w:rPr>
                <w:color w:val="000000" w:themeColor="text1"/>
                <w:sz w:val="18"/>
                <w:szCs w:val="18"/>
              </w:rPr>
            </w:pPr>
            <w:r>
              <w:rPr>
                <w:color w:val="000000" w:themeColor="text1"/>
                <w:sz w:val="18"/>
                <w:szCs w:val="18"/>
              </w:rPr>
              <w:t>S</w:t>
            </w:r>
            <w:r w:rsidR="00DD4046">
              <w:rPr>
                <w:color w:val="000000" w:themeColor="text1"/>
                <w:sz w:val="18"/>
                <w:szCs w:val="18"/>
              </w:rPr>
              <w:t>ig</w:t>
            </w:r>
          </w:p>
        </w:tc>
      </w:tr>
      <w:tr w:rsidR="00DD4046" w:rsidRPr="00784B23" w14:paraId="65BD24E4" w14:textId="77777777" w:rsidTr="005108F9">
        <w:trPr>
          <w:jc w:val="center"/>
        </w:trPr>
        <w:tc>
          <w:tcPr>
            <w:tcW w:w="1530" w:type="dxa"/>
            <w:vMerge w:val="restart"/>
            <w:shd w:val="clear" w:color="auto" w:fill="auto"/>
          </w:tcPr>
          <w:p w14:paraId="65212CD0" w14:textId="77777777" w:rsidR="00DD4046" w:rsidRPr="00784B23" w:rsidRDefault="00DD4046" w:rsidP="005108F9">
            <w:pPr>
              <w:autoSpaceDE w:val="0"/>
              <w:autoSpaceDN w:val="0"/>
              <w:adjustRightInd w:val="0"/>
              <w:spacing w:line="276" w:lineRule="auto"/>
              <w:ind w:right="60"/>
              <w:rPr>
                <w:color w:val="000000" w:themeColor="text1"/>
                <w:sz w:val="18"/>
                <w:szCs w:val="18"/>
              </w:rPr>
            </w:pPr>
            <w:proofErr w:type="spellStart"/>
            <w:r>
              <w:rPr>
                <w:color w:val="000000" w:themeColor="text1"/>
                <w:sz w:val="18"/>
                <w:szCs w:val="18"/>
              </w:rPr>
              <w:t>Dapagliflozi</w:t>
            </w:r>
            <w:proofErr w:type="spellEnd"/>
          </w:p>
        </w:tc>
        <w:tc>
          <w:tcPr>
            <w:tcW w:w="2448" w:type="dxa"/>
            <w:shd w:val="clear" w:color="auto" w:fill="auto"/>
          </w:tcPr>
          <w:p w14:paraId="44C11110" w14:textId="77777777" w:rsidR="00DD4046" w:rsidRPr="00784B23" w:rsidRDefault="00DD4046" w:rsidP="005108F9">
            <w:pPr>
              <w:autoSpaceDE w:val="0"/>
              <w:autoSpaceDN w:val="0"/>
              <w:adjustRightInd w:val="0"/>
              <w:spacing w:line="276" w:lineRule="auto"/>
              <w:ind w:right="60"/>
              <w:jc w:val="left"/>
              <w:rPr>
                <w:color w:val="000000" w:themeColor="text1"/>
                <w:sz w:val="18"/>
                <w:szCs w:val="18"/>
              </w:rPr>
            </w:pPr>
            <w:r w:rsidRPr="00784B23">
              <w:rPr>
                <w:color w:val="000000" w:themeColor="text1"/>
                <w:sz w:val="18"/>
                <w:szCs w:val="18"/>
              </w:rPr>
              <w:t>Dapagliflozin + Metformin</w:t>
            </w:r>
          </w:p>
        </w:tc>
        <w:tc>
          <w:tcPr>
            <w:tcW w:w="2448" w:type="dxa"/>
            <w:shd w:val="clear" w:color="auto" w:fill="auto"/>
          </w:tcPr>
          <w:p w14:paraId="3DB86310" w14:textId="77777777" w:rsidR="00DD4046" w:rsidRPr="00784B23" w:rsidRDefault="00DD4046" w:rsidP="005108F9">
            <w:pPr>
              <w:autoSpaceDE w:val="0"/>
              <w:autoSpaceDN w:val="0"/>
              <w:adjustRightInd w:val="0"/>
              <w:spacing w:line="276" w:lineRule="auto"/>
              <w:ind w:right="60"/>
              <w:rPr>
                <w:color w:val="010205"/>
                <w:sz w:val="18"/>
                <w:szCs w:val="18"/>
              </w:rPr>
            </w:pPr>
            <w:r w:rsidRPr="00784B23">
              <w:rPr>
                <w:color w:val="010205"/>
                <w:sz w:val="18"/>
                <w:szCs w:val="18"/>
              </w:rPr>
              <w:t>.000</w:t>
            </w:r>
          </w:p>
        </w:tc>
      </w:tr>
      <w:tr w:rsidR="00DD4046" w:rsidRPr="00784B23" w14:paraId="7E43BB95" w14:textId="77777777" w:rsidTr="005108F9">
        <w:trPr>
          <w:jc w:val="center"/>
        </w:trPr>
        <w:tc>
          <w:tcPr>
            <w:tcW w:w="1530" w:type="dxa"/>
            <w:vMerge/>
            <w:shd w:val="clear" w:color="auto" w:fill="auto"/>
          </w:tcPr>
          <w:p w14:paraId="243D34FE" w14:textId="77777777" w:rsidR="00DD4046" w:rsidRPr="00784B23" w:rsidRDefault="00DD4046" w:rsidP="005108F9">
            <w:pPr>
              <w:autoSpaceDE w:val="0"/>
              <w:autoSpaceDN w:val="0"/>
              <w:adjustRightInd w:val="0"/>
              <w:spacing w:line="276" w:lineRule="auto"/>
              <w:rPr>
                <w:color w:val="000000" w:themeColor="text1"/>
                <w:sz w:val="18"/>
                <w:szCs w:val="18"/>
              </w:rPr>
            </w:pPr>
          </w:p>
        </w:tc>
        <w:tc>
          <w:tcPr>
            <w:tcW w:w="2448" w:type="dxa"/>
            <w:shd w:val="clear" w:color="auto" w:fill="auto"/>
          </w:tcPr>
          <w:p w14:paraId="5B26B8E8" w14:textId="77777777" w:rsidR="00DD4046" w:rsidRPr="00784B23" w:rsidRDefault="00DD4046" w:rsidP="005108F9">
            <w:pPr>
              <w:autoSpaceDE w:val="0"/>
              <w:autoSpaceDN w:val="0"/>
              <w:adjustRightInd w:val="0"/>
              <w:spacing w:line="276" w:lineRule="auto"/>
              <w:ind w:right="60"/>
              <w:jc w:val="left"/>
              <w:rPr>
                <w:color w:val="000000" w:themeColor="text1"/>
                <w:sz w:val="18"/>
                <w:szCs w:val="18"/>
              </w:rPr>
            </w:pPr>
            <w:r w:rsidRPr="00784B23">
              <w:rPr>
                <w:color w:val="000000" w:themeColor="text1"/>
                <w:sz w:val="18"/>
                <w:szCs w:val="18"/>
              </w:rPr>
              <w:t xml:space="preserve">Dapagliflozin + </w:t>
            </w:r>
            <w:proofErr w:type="spellStart"/>
            <w:r w:rsidRPr="00784B23">
              <w:rPr>
                <w:color w:val="000000" w:themeColor="text1"/>
                <w:sz w:val="18"/>
                <w:szCs w:val="18"/>
              </w:rPr>
              <w:t>Saxagliptin</w:t>
            </w:r>
            <w:proofErr w:type="spellEnd"/>
          </w:p>
        </w:tc>
        <w:tc>
          <w:tcPr>
            <w:tcW w:w="2448" w:type="dxa"/>
            <w:shd w:val="clear" w:color="auto" w:fill="auto"/>
          </w:tcPr>
          <w:p w14:paraId="779084CE" w14:textId="77777777" w:rsidR="00DD4046" w:rsidRPr="00784B23" w:rsidRDefault="00DD4046" w:rsidP="005108F9">
            <w:pPr>
              <w:autoSpaceDE w:val="0"/>
              <w:autoSpaceDN w:val="0"/>
              <w:adjustRightInd w:val="0"/>
              <w:spacing w:line="276" w:lineRule="auto"/>
              <w:ind w:right="60"/>
              <w:rPr>
                <w:color w:val="010205"/>
                <w:sz w:val="18"/>
                <w:szCs w:val="18"/>
              </w:rPr>
            </w:pPr>
            <w:r w:rsidRPr="00784B23">
              <w:rPr>
                <w:color w:val="010205"/>
                <w:sz w:val="18"/>
                <w:szCs w:val="18"/>
              </w:rPr>
              <w:t>.001</w:t>
            </w:r>
          </w:p>
        </w:tc>
      </w:tr>
      <w:tr w:rsidR="00DD4046" w:rsidRPr="00784B23" w14:paraId="301457AA" w14:textId="77777777" w:rsidTr="005108F9">
        <w:trPr>
          <w:jc w:val="center"/>
        </w:trPr>
        <w:tc>
          <w:tcPr>
            <w:tcW w:w="1530" w:type="dxa"/>
            <w:vMerge/>
            <w:shd w:val="clear" w:color="auto" w:fill="auto"/>
          </w:tcPr>
          <w:p w14:paraId="078040F0" w14:textId="77777777" w:rsidR="00DD4046" w:rsidRPr="00784B23" w:rsidRDefault="00DD4046" w:rsidP="005108F9">
            <w:pPr>
              <w:autoSpaceDE w:val="0"/>
              <w:autoSpaceDN w:val="0"/>
              <w:adjustRightInd w:val="0"/>
              <w:spacing w:line="276" w:lineRule="auto"/>
              <w:rPr>
                <w:color w:val="000000" w:themeColor="text1"/>
                <w:sz w:val="18"/>
                <w:szCs w:val="18"/>
              </w:rPr>
            </w:pPr>
          </w:p>
        </w:tc>
        <w:tc>
          <w:tcPr>
            <w:tcW w:w="2448" w:type="dxa"/>
            <w:shd w:val="clear" w:color="auto" w:fill="auto"/>
          </w:tcPr>
          <w:p w14:paraId="5E47E9C3" w14:textId="77777777" w:rsidR="00DD4046" w:rsidRPr="00784B23" w:rsidRDefault="00DD4046" w:rsidP="005108F9">
            <w:pPr>
              <w:autoSpaceDE w:val="0"/>
              <w:autoSpaceDN w:val="0"/>
              <w:adjustRightInd w:val="0"/>
              <w:spacing w:line="276" w:lineRule="auto"/>
              <w:ind w:right="60"/>
              <w:jc w:val="left"/>
              <w:rPr>
                <w:color w:val="000000" w:themeColor="text1"/>
                <w:sz w:val="18"/>
                <w:szCs w:val="18"/>
              </w:rPr>
            </w:pPr>
            <w:r w:rsidRPr="00784B23">
              <w:rPr>
                <w:color w:val="000000" w:themeColor="text1"/>
                <w:sz w:val="18"/>
                <w:szCs w:val="18"/>
              </w:rPr>
              <w:t xml:space="preserve">Dapagliflozin + </w:t>
            </w:r>
            <w:proofErr w:type="spellStart"/>
            <w:r w:rsidRPr="00784B23">
              <w:rPr>
                <w:color w:val="000000" w:themeColor="text1"/>
                <w:sz w:val="18"/>
                <w:szCs w:val="18"/>
              </w:rPr>
              <w:t>Glimepirid</w:t>
            </w:r>
            <w:proofErr w:type="spellEnd"/>
          </w:p>
        </w:tc>
        <w:tc>
          <w:tcPr>
            <w:tcW w:w="2448" w:type="dxa"/>
            <w:shd w:val="clear" w:color="auto" w:fill="auto"/>
          </w:tcPr>
          <w:p w14:paraId="07DFCEFC" w14:textId="77777777" w:rsidR="00DD4046" w:rsidRPr="00784B23" w:rsidRDefault="00DD4046" w:rsidP="005108F9">
            <w:pPr>
              <w:autoSpaceDE w:val="0"/>
              <w:autoSpaceDN w:val="0"/>
              <w:adjustRightInd w:val="0"/>
              <w:spacing w:line="276" w:lineRule="auto"/>
              <w:ind w:right="60"/>
              <w:rPr>
                <w:color w:val="010205"/>
                <w:sz w:val="18"/>
                <w:szCs w:val="18"/>
              </w:rPr>
            </w:pPr>
            <w:r w:rsidRPr="00784B23">
              <w:rPr>
                <w:color w:val="010205"/>
                <w:sz w:val="18"/>
                <w:szCs w:val="18"/>
              </w:rPr>
              <w:t>.694</w:t>
            </w:r>
          </w:p>
        </w:tc>
      </w:tr>
      <w:tr w:rsidR="00DD4046" w:rsidRPr="00784B23" w14:paraId="6CDC10FE" w14:textId="77777777" w:rsidTr="005108F9">
        <w:trPr>
          <w:jc w:val="center"/>
        </w:trPr>
        <w:tc>
          <w:tcPr>
            <w:tcW w:w="1530" w:type="dxa"/>
            <w:vMerge/>
            <w:shd w:val="clear" w:color="auto" w:fill="auto"/>
          </w:tcPr>
          <w:p w14:paraId="1773DE7D" w14:textId="77777777" w:rsidR="00DD4046" w:rsidRPr="00784B23" w:rsidRDefault="00DD4046" w:rsidP="005108F9">
            <w:pPr>
              <w:autoSpaceDE w:val="0"/>
              <w:autoSpaceDN w:val="0"/>
              <w:adjustRightInd w:val="0"/>
              <w:spacing w:line="276" w:lineRule="auto"/>
              <w:rPr>
                <w:color w:val="000000" w:themeColor="text1"/>
                <w:sz w:val="18"/>
                <w:szCs w:val="18"/>
              </w:rPr>
            </w:pPr>
          </w:p>
        </w:tc>
        <w:tc>
          <w:tcPr>
            <w:tcW w:w="2448" w:type="dxa"/>
            <w:shd w:val="clear" w:color="auto" w:fill="auto"/>
          </w:tcPr>
          <w:p w14:paraId="532B310F" w14:textId="77777777" w:rsidR="00DD4046" w:rsidRPr="00784B23" w:rsidRDefault="00DD4046" w:rsidP="005108F9">
            <w:pPr>
              <w:autoSpaceDE w:val="0"/>
              <w:autoSpaceDN w:val="0"/>
              <w:adjustRightInd w:val="0"/>
              <w:spacing w:line="276" w:lineRule="auto"/>
              <w:ind w:right="60"/>
              <w:jc w:val="left"/>
              <w:rPr>
                <w:color w:val="000000" w:themeColor="text1"/>
                <w:sz w:val="18"/>
                <w:szCs w:val="18"/>
              </w:rPr>
            </w:pPr>
            <w:proofErr w:type="spellStart"/>
            <w:r w:rsidRPr="00784B23">
              <w:rPr>
                <w:color w:val="000000" w:themeColor="text1"/>
                <w:sz w:val="18"/>
                <w:szCs w:val="18"/>
              </w:rPr>
              <w:t>Dapa</w:t>
            </w:r>
            <w:proofErr w:type="spellEnd"/>
            <w:r w:rsidRPr="00784B23">
              <w:rPr>
                <w:color w:val="000000" w:themeColor="text1"/>
                <w:sz w:val="18"/>
                <w:szCs w:val="18"/>
              </w:rPr>
              <w:t xml:space="preserve"> + Met + </w:t>
            </w:r>
            <w:proofErr w:type="spellStart"/>
            <w:r w:rsidRPr="00784B23">
              <w:rPr>
                <w:color w:val="000000" w:themeColor="text1"/>
                <w:sz w:val="18"/>
                <w:szCs w:val="18"/>
              </w:rPr>
              <w:t>Saxa</w:t>
            </w:r>
            <w:proofErr w:type="spellEnd"/>
          </w:p>
        </w:tc>
        <w:tc>
          <w:tcPr>
            <w:tcW w:w="2448" w:type="dxa"/>
            <w:shd w:val="clear" w:color="auto" w:fill="auto"/>
          </w:tcPr>
          <w:p w14:paraId="3B05E983" w14:textId="77777777" w:rsidR="00DD4046" w:rsidRPr="00784B23" w:rsidRDefault="00DD4046" w:rsidP="005108F9">
            <w:pPr>
              <w:autoSpaceDE w:val="0"/>
              <w:autoSpaceDN w:val="0"/>
              <w:adjustRightInd w:val="0"/>
              <w:spacing w:line="276" w:lineRule="auto"/>
              <w:ind w:right="60"/>
              <w:rPr>
                <w:color w:val="010205"/>
                <w:sz w:val="18"/>
                <w:szCs w:val="18"/>
              </w:rPr>
            </w:pPr>
            <w:r w:rsidRPr="00784B23">
              <w:rPr>
                <w:color w:val="010205"/>
                <w:sz w:val="18"/>
                <w:szCs w:val="18"/>
              </w:rPr>
              <w:t>.000</w:t>
            </w:r>
          </w:p>
        </w:tc>
      </w:tr>
      <w:tr w:rsidR="00DD4046" w:rsidRPr="00784B23" w14:paraId="5069BCA3" w14:textId="77777777" w:rsidTr="005108F9">
        <w:trPr>
          <w:jc w:val="center"/>
        </w:trPr>
        <w:tc>
          <w:tcPr>
            <w:tcW w:w="1530" w:type="dxa"/>
            <w:vMerge w:val="restart"/>
            <w:shd w:val="clear" w:color="auto" w:fill="auto"/>
          </w:tcPr>
          <w:p w14:paraId="5184C846" w14:textId="77777777" w:rsidR="00DD4046" w:rsidRPr="00784B23" w:rsidRDefault="00DD4046" w:rsidP="005108F9">
            <w:pPr>
              <w:autoSpaceDE w:val="0"/>
              <w:autoSpaceDN w:val="0"/>
              <w:adjustRightInd w:val="0"/>
              <w:spacing w:line="276" w:lineRule="auto"/>
              <w:ind w:right="60"/>
              <w:rPr>
                <w:color w:val="000000" w:themeColor="text1"/>
                <w:sz w:val="18"/>
                <w:szCs w:val="18"/>
              </w:rPr>
            </w:pPr>
            <w:r w:rsidRPr="00784B23">
              <w:rPr>
                <w:color w:val="000000" w:themeColor="text1"/>
                <w:sz w:val="18"/>
                <w:szCs w:val="18"/>
              </w:rPr>
              <w:t>Dapagliflozin + Metformin</w:t>
            </w:r>
          </w:p>
        </w:tc>
        <w:tc>
          <w:tcPr>
            <w:tcW w:w="2448" w:type="dxa"/>
            <w:shd w:val="clear" w:color="auto" w:fill="auto"/>
          </w:tcPr>
          <w:p w14:paraId="6E0403C3" w14:textId="77777777" w:rsidR="00DD4046" w:rsidRPr="00784B23" w:rsidRDefault="00DD4046" w:rsidP="005108F9">
            <w:pPr>
              <w:autoSpaceDE w:val="0"/>
              <w:autoSpaceDN w:val="0"/>
              <w:adjustRightInd w:val="0"/>
              <w:spacing w:line="276" w:lineRule="auto"/>
              <w:ind w:right="60"/>
              <w:jc w:val="left"/>
              <w:rPr>
                <w:color w:val="000000" w:themeColor="text1"/>
                <w:sz w:val="18"/>
                <w:szCs w:val="18"/>
              </w:rPr>
            </w:pPr>
            <w:r w:rsidRPr="00784B23">
              <w:rPr>
                <w:color w:val="000000" w:themeColor="text1"/>
                <w:sz w:val="18"/>
                <w:szCs w:val="18"/>
              </w:rPr>
              <w:t>Dapagliflozin</w:t>
            </w:r>
          </w:p>
        </w:tc>
        <w:tc>
          <w:tcPr>
            <w:tcW w:w="2448" w:type="dxa"/>
            <w:shd w:val="clear" w:color="auto" w:fill="auto"/>
          </w:tcPr>
          <w:p w14:paraId="2B1143FB" w14:textId="77777777" w:rsidR="00DD4046" w:rsidRPr="00784B23" w:rsidRDefault="00DD4046" w:rsidP="005108F9">
            <w:pPr>
              <w:autoSpaceDE w:val="0"/>
              <w:autoSpaceDN w:val="0"/>
              <w:adjustRightInd w:val="0"/>
              <w:spacing w:line="276" w:lineRule="auto"/>
              <w:ind w:right="60"/>
              <w:rPr>
                <w:color w:val="010205"/>
                <w:sz w:val="18"/>
                <w:szCs w:val="18"/>
              </w:rPr>
            </w:pPr>
            <w:r w:rsidRPr="00784B23">
              <w:rPr>
                <w:color w:val="010205"/>
                <w:sz w:val="18"/>
                <w:szCs w:val="18"/>
              </w:rPr>
              <w:t>.000</w:t>
            </w:r>
          </w:p>
        </w:tc>
      </w:tr>
      <w:tr w:rsidR="00DD4046" w:rsidRPr="00784B23" w14:paraId="2A96BDFE" w14:textId="77777777" w:rsidTr="005108F9">
        <w:trPr>
          <w:jc w:val="center"/>
        </w:trPr>
        <w:tc>
          <w:tcPr>
            <w:tcW w:w="1530" w:type="dxa"/>
            <w:vMerge/>
            <w:shd w:val="clear" w:color="auto" w:fill="auto"/>
          </w:tcPr>
          <w:p w14:paraId="0376ABDC" w14:textId="77777777" w:rsidR="00DD4046" w:rsidRPr="00784B23" w:rsidRDefault="00DD4046" w:rsidP="005108F9">
            <w:pPr>
              <w:autoSpaceDE w:val="0"/>
              <w:autoSpaceDN w:val="0"/>
              <w:adjustRightInd w:val="0"/>
              <w:spacing w:line="276" w:lineRule="auto"/>
              <w:rPr>
                <w:color w:val="000000" w:themeColor="text1"/>
                <w:sz w:val="18"/>
                <w:szCs w:val="18"/>
              </w:rPr>
            </w:pPr>
          </w:p>
        </w:tc>
        <w:tc>
          <w:tcPr>
            <w:tcW w:w="2448" w:type="dxa"/>
            <w:shd w:val="clear" w:color="auto" w:fill="auto"/>
          </w:tcPr>
          <w:p w14:paraId="7AABC6F3" w14:textId="77777777" w:rsidR="00DD4046" w:rsidRPr="00784B23" w:rsidRDefault="00DD4046" w:rsidP="005108F9">
            <w:pPr>
              <w:autoSpaceDE w:val="0"/>
              <w:autoSpaceDN w:val="0"/>
              <w:adjustRightInd w:val="0"/>
              <w:spacing w:line="276" w:lineRule="auto"/>
              <w:ind w:right="60"/>
              <w:jc w:val="left"/>
              <w:rPr>
                <w:color w:val="000000" w:themeColor="text1"/>
                <w:sz w:val="18"/>
                <w:szCs w:val="18"/>
              </w:rPr>
            </w:pPr>
            <w:r w:rsidRPr="00784B23">
              <w:rPr>
                <w:color w:val="000000" w:themeColor="text1"/>
                <w:sz w:val="18"/>
                <w:szCs w:val="18"/>
              </w:rPr>
              <w:t xml:space="preserve">Dapagliflozin + </w:t>
            </w:r>
            <w:proofErr w:type="spellStart"/>
            <w:r w:rsidRPr="00784B23">
              <w:rPr>
                <w:color w:val="000000" w:themeColor="text1"/>
                <w:sz w:val="18"/>
                <w:szCs w:val="18"/>
              </w:rPr>
              <w:t>Saxagliptin</w:t>
            </w:r>
            <w:proofErr w:type="spellEnd"/>
          </w:p>
        </w:tc>
        <w:tc>
          <w:tcPr>
            <w:tcW w:w="2448" w:type="dxa"/>
            <w:shd w:val="clear" w:color="auto" w:fill="auto"/>
          </w:tcPr>
          <w:p w14:paraId="2AFC42AD" w14:textId="77777777" w:rsidR="00DD4046" w:rsidRPr="00784B23" w:rsidRDefault="00DD4046" w:rsidP="005108F9">
            <w:pPr>
              <w:autoSpaceDE w:val="0"/>
              <w:autoSpaceDN w:val="0"/>
              <w:adjustRightInd w:val="0"/>
              <w:spacing w:line="276" w:lineRule="auto"/>
              <w:ind w:right="60"/>
              <w:rPr>
                <w:color w:val="010205"/>
                <w:sz w:val="18"/>
                <w:szCs w:val="18"/>
              </w:rPr>
            </w:pPr>
            <w:r w:rsidRPr="00784B23">
              <w:rPr>
                <w:color w:val="010205"/>
                <w:sz w:val="18"/>
                <w:szCs w:val="18"/>
              </w:rPr>
              <w:t>.029</w:t>
            </w:r>
          </w:p>
        </w:tc>
      </w:tr>
      <w:tr w:rsidR="00DD4046" w:rsidRPr="00784B23" w14:paraId="0C5304FA" w14:textId="77777777" w:rsidTr="005108F9">
        <w:trPr>
          <w:jc w:val="center"/>
        </w:trPr>
        <w:tc>
          <w:tcPr>
            <w:tcW w:w="1530" w:type="dxa"/>
            <w:vMerge/>
            <w:shd w:val="clear" w:color="auto" w:fill="auto"/>
          </w:tcPr>
          <w:p w14:paraId="74037643" w14:textId="77777777" w:rsidR="00DD4046" w:rsidRPr="00784B23" w:rsidRDefault="00DD4046" w:rsidP="005108F9">
            <w:pPr>
              <w:autoSpaceDE w:val="0"/>
              <w:autoSpaceDN w:val="0"/>
              <w:adjustRightInd w:val="0"/>
              <w:spacing w:line="276" w:lineRule="auto"/>
              <w:rPr>
                <w:color w:val="000000" w:themeColor="text1"/>
                <w:sz w:val="18"/>
                <w:szCs w:val="18"/>
              </w:rPr>
            </w:pPr>
          </w:p>
        </w:tc>
        <w:tc>
          <w:tcPr>
            <w:tcW w:w="2448" w:type="dxa"/>
            <w:shd w:val="clear" w:color="auto" w:fill="auto"/>
          </w:tcPr>
          <w:p w14:paraId="43DCE2FF" w14:textId="77777777" w:rsidR="00DD4046" w:rsidRPr="00784B23" w:rsidRDefault="00DD4046" w:rsidP="005108F9">
            <w:pPr>
              <w:autoSpaceDE w:val="0"/>
              <w:autoSpaceDN w:val="0"/>
              <w:adjustRightInd w:val="0"/>
              <w:spacing w:line="276" w:lineRule="auto"/>
              <w:ind w:right="60"/>
              <w:jc w:val="left"/>
              <w:rPr>
                <w:color w:val="000000" w:themeColor="text1"/>
                <w:sz w:val="18"/>
                <w:szCs w:val="18"/>
              </w:rPr>
            </w:pPr>
            <w:r w:rsidRPr="00784B23">
              <w:rPr>
                <w:color w:val="000000" w:themeColor="text1"/>
                <w:sz w:val="18"/>
                <w:szCs w:val="18"/>
              </w:rPr>
              <w:t xml:space="preserve">Dapagliflozin + </w:t>
            </w:r>
            <w:proofErr w:type="spellStart"/>
            <w:r w:rsidRPr="00784B23">
              <w:rPr>
                <w:color w:val="000000" w:themeColor="text1"/>
                <w:sz w:val="18"/>
                <w:szCs w:val="18"/>
              </w:rPr>
              <w:t>Glimepirid</w:t>
            </w:r>
            <w:proofErr w:type="spellEnd"/>
          </w:p>
        </w:tc>
        <w:tc>
          <w:tcPr>
            <w:tcW w:w="2448" w:type="dxa"/>
            <w:shd w:val="clear" w:color="auto" w:fill="auto"/>
          </w:tcPr>
          <w:p w14:paraId="0BFD37D1" w14:textId="77777777" w:rsidR="00DD4046" w:rsidRPr="00784B23" w:rsidRDefault="00DD4046" w:rsidP="005108F9">
            <w:pPr>
              <w:autoSpaceDE w:val="0"/>
              <w:autoSpaceDN w:val="0"/>
              <w:adjustRightInd w:val="0"/>
              <w:spacing w:line="276" w:lineRule="auto"/>
              <w:ind w:right="60"/>
              <w:rPr>
                <w:color w:val="010205"/>
                <w:sz w:val="18"/>
                <w:szCs w:val="18"/>
              </w:rPr>
            </w:pPr>
            <w:r w:rsidRPr="00784B23">
              <w:rPr>
                <w:color w:val="010205"/>
                <w:sz w:val="18"/>
                <w:szCs w:val="18"/>
              </w:rPr>
              <w:t>.000</w:t>
            </w:r>
          </w:p>
        </w:tc>
      </w:tr>
      <w:tr w:rsidR="00DD4046" w:rsidRPr="00784B23" w14:paraId="11F4654D" w14:textId="77777777" w:rsidTr="005108F9">
        <w:trPr>
          <w:jc w:val="center"/>
        </w:trPr>
        <w:tc>
          <w:tcPr>
            <w:tcW w:w="1530" w:type="dxa"/>
            <w:vMerge/>
            <w:shd w:val="clear" w:color="auto" w:fill="auto"/>
          </w:tcPr>
          <w:p w14:paraId="67F29933" w14:textId="77777777" w:rsidR="00DD4046" w:rsidRPr="00784B23" w:rsidRDefault="00DD4046" w:rsidP="005108F9">
            <w:pPr>
              <w:autoSpaceDE w:val="0"/>
              <w:autoSpaceDN w:val="0"/>
              <w:adjustRightInd w:val="0"/>
              <w:spacing w:line="276" w:lineRule="auto"/>
              <w:rPr>
                <w:color w:val="000000" w:themeColor="text1"/>
                <w:sz w:val="18"/>
                <w:szCs w:val="18"/>
              </w:rPr>
            </w:pPr>
          </w:p>
        </w:tc>
        <w:tc>
          <w:tcPr>
            <w:tcW w:w="2448" w:type="dxa"/>
            <w:shd w:val="clear" w:color="auto" w:fill="auto"/>
          </w:tcPr>
          <w:p w14:paraId="60EC2413" w14:textId="77777777" w:rsidR="00DD4046" w:rsidRPr="00784B23" w:rsidRDefault="00DD4046" w:rsidP="005108F9">
            <w:pPr>
              <w:autoSpaceDE w:val="0"/>
              <w:autoSpaceDN w:val="0"/>
              <w:adjustRightInd w:val="0"/>
              <w:spacing w:line="276" w:lineRule="auto"/>
              <w:ind w:right="60"/>
              <w:jc w:val="left"/>
              <w:rPr>
                <w:color w:val="000000" w:themeColor="text1"/>
                <w:sz w:val="18"/>
                <w:szCs w:val="18"/>
              </w:rPr>
            </w:pPr>
            <w:proofErr w:type="spellStart"/>
            <w:r w:rsidRPr="00784B23">
              <w:rPr>
                <w:color w:val="000000" w:themeColor="text1"/>
                <w:sz w:val="18"/>
                <w:szCs w:val="18"/>
              </w:rPr>
              <w:t>Dapa</w:t>
            </w:r>
            <w:proofErr w:type="spellEnd"/>
            <w:r w:rsidRPr="00784B23">
              <w:rPr>
                <w:color w:val="000000" w:themeColor="text1"/>
                <w:sz w:val="18"/>
                <w:szCs w:val="18"/>
              </w:rPr>
              <w:t xml:space="preserve"> + Met + </w:t>
            </w:r>
            <w:proofErr w:type="spellStart"/>
            <w:r w:rsidRPr="00784B23">
              <w:rPr>
                <w:color w:val="000000" w:themeColor="text1"/>
                <w:sz w:val="18"/>
                <w:szCs w:val="18"/>
              </w:rPr>
              <w:t>Saxa</w:t>
            </w:r>
            <w:proofErr w:type="spellEnd"/>
          </w:p>
        </w:tc>
        <w:tc>
          <w:tcPr>
            <w:tcW w:w="2448" w:type="dxa"/>
            <w:shd w:val="clear" w:color="auto" w:fill="auto"/>
          </w:tcPr>
          <w:p w14:paraId="5E30D1FB" w14:textId="77777777" w:rsidR="00DD4046" w:rsidRPr="00784B23" w:rsidRDefault="00DD4046" w:rsidP="005108F9">
            <w:pPr>
              <w:autoSpaceDE w:val="0"/>
              <w:autoSpaceDN w:val="0"/>
              <w:adjustRightInd w:val="0"/>
              <w:spacing w:line="276" w:lineRule="auto"/>
              <w:ind w:right="60"/>
              <w:rPr>
                <w:color w:val="010205"/>
                <w:sz w:val="18"/>
                <w:szCs w:val="18"/>
              </w:rPr>
            </w:pPr>
            <w:r w:rsidRPr="00784B23">
              <w:rPr>
                <w:color w:val="010205"/>
                <w:sz w:val="18"/>
                <w:szCs w:val="18"/>
              </w:rPr>
              <w:t>.079</w:t>
            </w:r>
          </w:p>
        </w:tc>
      </w:tr>
      <w:tr w:rsidR="00DD4046" w:rsidRPr="00784B23" w14:paraId="2186AEF2" w14:textId="77777777" w:rsidTr="005108F9">
        <w:trPr>
          <w:jc w:val="center"/>
        </w:trPr>
        <w:tc>
          <w:tcPr>
            <w:tcW w:w="1530" w:type="dxa"/>
            <w:vMerge w:val="restart"/>
            <w:shd w:val="clear" w:color="auto" w:fill="auto"/>
          </w:tcPr>
          <w:p w14:paraId="67DEE9A7" w14:textId="77777777" w:rsidR="00DD4046" w:rsidRPr="00784B23" w:rsidRDefault="00DD4046" w:rsidP="005108F9">
            <w:pPr>
              <w:autoSpaceDE w:val="0"/>
              <w:autoSpaceDN w:val="0"/>
              <w:adjustRightInd w:val="0"/>
              <w:spacing w:line="276" w:lineRule="auto"/>
              <w:ind w:right="60"/>
              <w:rPr>
                <w:color w:val="000000" w:themeColor="text1"/>
                <w:sz w:val="18"/>
                <w:szCs w:val="18"/>
              </w:rPr>
            </w:pPr>
            <w:r w:rsidRPr="00784B23">
              <w:rPr>
                <w:color w:val="000000" w:themeColor="text1"/>
                <w:sz w:val="18"/>
                <w:szCs w:val="18"/>
              </w:rPr>
              <w:t xml:space="preserve">Dapagliflozin + </w:t>
            </w:r>
            <w:proofErr w:type="spellStart"/>
            <w:r w:rsidRPr="00784B23">
              <w:rPr>
                <w:color w:val="000000" w:themeColor="text1"/>
                <w:sz w:val="18"/>
                <w:szCs w:val="18"/>
              </w:rPr>
              <w:t>Saxagliptin</w:t>
            </w:r>
            <w:proofErr w:type="spellEnd"/>
          </w:p>
        </w:tc>
        <w:tc>
          <w:tcPr>
            <w:tcW w:w="2448" w:type="dxa"/>
            <w:shd w:val="clear" w:color="auto" w:fill="auto"/>
          </w:tcPr>
          <w:p w14:paraId="6DB68BB9" w14:textId="77777777" w:rsidR="00DD4046" w:rsidRPr="00784B23" w:rsidRDefault="00DD4046" w:rsidP="005108F9">
            <w:pPr>
              <w:autoSpaceDE w:val="0"/>
              <w:autoSpaceDN w:val="0"/>
              <w:adjustRightInd w:val="0"/>
              <w:spacing w:line="276" w:lineRule="auto"/>
              <w:ind w:right="60"/>
              <w:jc w:val="left"/>
              <w:rPr>
                <w:color w:val="000000" w:themeColor="text1"/>
                <w:sz w:val="18"/>
                <w:szCs w:val="18"/>
              </w:rPr>
            </w:pPr>
            <w:r w:rsidRPr="00784B23">
              <w:rPr>
                <w:color w:val="000000" w:themeColor="text1"/>
                <w:sz w:val="18"/>
                <w:szCs w:val="18"/>
              </w:rPr>
              <w:t>Dapagliflozin</w:t>
            </w:r>
          </w:p>
        </w:tc>
        <w:tc>
          <w:tcPr>
            <w:tcW w:w="2448" w:type="dxa"/>
            <w:shd w:val="clear" w:color="auto" w:fill="auto"/>
          </w:tcPr>
          <w:p w14:paraId="0F1B332B" w14:textId="77777777" w:rsidR="00DD4046" w:rsidRPr="00784B23" w:rsidRDefault="00DD4046" w:rsidP="005108F9">
            <w:pPr>
              <w:autoSpaceDE w:val="0"/>
              <w:autoSpaceDN w:val="0"/>
              <w:adjustRightInd w:val="0"/>
              <w:spacing w:line="276" w:lineRule="auto"/>
              <w:ind w:right="60"/>
              <w:rPr>
                <w:color w:val="010205"/>
                <w:sz w:val="18"/>
                <w:szCs w:val="18"/>
              </w:rPr>
            </w:pPr>
            <w:r w:rsidRPr="00784B23">
              <w:rPr>
                <w:color w:val="010205"/>
                <w:sz w:val="18"/>
                <w:szCs w:val="18"/>
              </w:rPr>
              <w:t>.001</w:t>
            </w:r>
          </w:p>
        </w:tc>
      </w:tr>
      <w:tr w:rsidR="00DD4046" w:rsidRPr="00784B23" w14:paraId="1204D622" w14:textId="77777777" w:rsidTr="005108F9">
        <w:trPr>
          <w:jc w:val="center"/>
        </w:trPr>
        <w:tc>
          <w:tcPr>
            <w:tcW w:w="1530" w:type="dxa"/>
            <w:vMerge/>
            <w:shd w:val="clear" w:color="auto" w:fill="auto"/>
          </w:tcPr>
          <w:p w14:paraId="46F247D7" w14:textId="77777777" w:rsidR="00DD4046" w:rsidRPr="00784B23" w:rsidRDefault="00DD4046" w:rsidP="005108F9">
            <w:pPr>
              <w:autoSpaceDE w:val="0"/>
              <w:autoSpaceDN w:val="0"/>
              <w:adjustRightInd w:val="0"/>
              <w:spacing w:line="276" w:lineRule="auto"/>
              <w:rPr>
                <w:color w:val="000000" w:themeColor="text1"/>
                <w:sz w:val="18"/>
                <w:szCs w:val="18"/>
              </w:rPr>
            </w:pPr>
          </w:p>
        </w:tc>
        <w:tc>
          <w:tcPr>
            <w:tcW w:w="2448" w:type="dxa"/>
            <w:shd w:val="clear" w:color="auto" w:fill="auto"/>
          </w:tcPr>
          <w:p w14:paraId="57BAD959" w14:textId="77777777" w:rsidR="00DD4046" w:rsidRPr="00784B23" w:rsidRDefault="00DD4046" w:rsidP="005108F9">
            <w:pPr>
              <w:autoSpaceDE w:val="0"/>
              <w:autoSpaceDN w:val="0"/>
              <w:adjustRightInd w:val="0"/>
              <w:spacing w:line="276" w:lineRule="auto"/>
              <w:ind w:right="60"/>
              <w:jc w:val="left"/>
              <w:rPr>
                <w:color w:val="000000" w:themeColor="text1"/>
                <w:sz w:val="18"/>
                <w:szCs w:val="18"/>
              </w:rPr>
            </w:pPr>
            <w:r w:rsidRPr="00784B23">
              <w:rPr>
                <w:color w:val="000000" w:themeColor="text1"/>
                <w:sz w:val="18"/>
                <w:szCs w:val="18"/>
              </w:rPr>
              <w:t>Dapagliflozin + Metformin</w:t>
            </w:r>
          </w:p>
        </w:tc>
        <w:tc>
          <w:tcPr>
            <w:tcW w:w="2448" w:type="dxa"/>
            <w:shd w:val="clear" w:color="auto" w:fill="auto"/>
          </w:tcPr>
          <w:p w14:paraId="363107CB" w14:textId="77777777" w:rsidR="00DD4046" w:rsidRPr="00784B23" w:rsidRDefault="00DD4046" w:rsidP="005108F9">
            <w:pPr>
              <w:autoSpaceDE w:val="0"/>
              <w:autoSpaceDN w:val="0"/>
              <w:adjustRightInd w:val="0"/>
              <w:spacing w:line="276" w:lineRule="auto"/>
              <w:ind w:right="60"/>
              <w:rPr>
                <w:color w:val="010205"/>
                <w:sz w:val="18"/>
                <w:szCs w:val="18"/>
              </w:rPr>
            </w:pPr>
            <w:r w:rsidRPr="00784B23">
              <w:rPr>
                <w:color w:val="010205"/>
                <w:sz w:val="18"/>
                <w:szCs w:val="18"/>
              </w:rPr>
              <w:t>.029</w:t>
            </w:r>
          </w:p>
        </w:tc>
      </w:tr>
      <w:tr w:rsidR="00DD4046" w:rsidRPr="00784B23" w14:paraId="1E6D349E" w14:textId="77777777" w:rsidTr="005108F9">
        <w:trPr>
          <w:jc w:val="center"/>
        </w:trPr>
        <w:tc>
          <w:tcPr>
            <w:tcW w:w="1530" w:type="dxa"/>
            <w:vMerge/>
            <w:shd w:val="clear" w:color="auto" w:fill="auto"/>
          </w:tcPr>
          <w:p w14:paraId="5E979298" w14:textId="77777777" w:rsidR="00DD4046" w:rsidRPr="00784B23" w:rsidRDefault="00DD4046" w:rsidP="005108F9">
            <w:pPr>
              <w:autoSpaceDE w:val="0"/>
              <w:autoSpaceDN w:val="0"/>
              <w:adjustRightInd w:val="0"/>
              <w:spacing w:line="276" w:lineRule="auto"/>
              <w:rPr>
                <w:color w:val="000000" w:themeColor="text1"/>
                <w:sz w:val="18"/>
                <w:szCs w:val="18"/>
              </w:rPr>
            </w:pPr>
          </w:p>
        </w:tc>
        <w:tc>
          <w:tcPr>
            <w:tcW w:w="2448" w:type="dxa"/>
            <w:shd w:val="clear" w:color="auto" w:fill="auto"/>
          </w:tcPr>
          <w:p w14:paraId="77DFAC8E" w14:textId="77777777" w:rsidR="00DD4046" w:rsidRPr="00784B23" w:rsidRDefault="00DD4046" w:rsidP="005108F9">
            <w:pPr>
              <w:autoSpaceDE w:val="0"/>
              <w:autoSpaceDN w:val="0"/>
              <w:adjustRightInd w:val="0"/>
              <w:spacing w:line="276" w:lineRule="auto"/>
              <w:ind w:right="60"/>
              <w:jc w:val="left"/>
              <w:rPr>
                <w:color w:val="000000" w:themeColor="text1"/>
                <w:sz w:val="18"/>
                <w:szCs w:val="18"/>
              </w:rPr>
            </w:pPr>
            <w:r w:rsidRPr="00784B23">
              <w:rPr>
                <w:color w:val="000000" w:themeColor="text1"/>
                <w:sz w:val="18"/>
                <w:szCs w:val="18"/>
              </w:rPr>
              <w:t xml:space="preserve">Dapagliflozin + </w:t>
            </w:r>
            <w:proofErr w:type="spellStart"/>
            <w:r w:rsidRPr="00784B23">
              <w:rPr>
                <w:color w:val="000000" w:themeColor="text1"/>
                <w:sz w:val="18"/>
                <w:szCs w:val="18"/>
              </w:rPr>
              <w:t>Glimepirid</w:t>
            </w:r>
            <w:proofErr w:type="spellEnd"/>
          </w:p>
        </w:tc>
        <w:tc>
          <w:tcPr>
            <w:tcW w:w="2448" w:type="dxa"/>
            <w:shd w:val="clear" w:color="auto" w:fill="auto"/>
          </w:tcPr>
          <w:p w14:paraId="5AEBAD89" w14:textId="77777777" w:rsidR="00DD4046" w:rsidRPr="00784B23" w:rsidRDefault="00DD4046" w:rsidP="005108F9">
            <w:pPr>
              <w:autoSpaceDE w:val="0"/>
              <w:autoSpaceDN w:val="0"/>
              <w:adjustRightInd w:val="0"/>
              <w:spacing w:line="276" w:lineRule="auto"/>
              <w:ind w:right="60"/>
              <w:rPr>
                <w:color w:val="010205"/>
                <w:sz w:val="18"/>
                <w:szCs w:val="18"/>
              </w:rPr>
            </w:pPr>
            <w:r w:rsidRPr="00784B23">
              <w:rPr>
                <w:color w:val="010205"/>
                <w:sz w:val="18"/>
                <w:szCs w:val="18"/>
              </w:rPr>
              <w:t>.013</w:t>
            </w:r>
          </w:p>
        </w:tc>
      </w:tr>
      <w:tr w:rsidR="00DD4046" w:rsidRPr="00784B23" w14:paraId="19529E8A" w14:textId="77777777" w:rsidTr="005108F9">
        <w:trPr>
          <w:jc w:val="center"/>
        </w:trPr>
        <w:tc>
          <w:tcPr>
            <w:tcW w:w="1530" w:type="dxa"/>
            <w:vMerge/>
            <w:shd w:val="clear" w:color="auto" w:fill="auto"/>
          </w:tcPr>
          <w:p w14:paraId="5E884EB0" w14:textId="77777777" w:rsidR="00DD4046" w:rsidRPr="00784B23" w:rsidRDefault="00DD4046" w:rsidP="005108F9">
            <w:pPr>
              <w:autoSpaceDE w:val="0"/>
              <w:autoSpaceDN w:val="0"/>
              <w:adjustRightInd w:val="0"/>
              <w:spacing w:line="276" w:lineRule="auto"/>
              <w:rPr>
                <w:color w:val="000000" w:themeColor="text1"/>
                <w:sz w:val="18"/>
                <w:szCs w:val="18"/>
              </w:rPr>
            </w:pPr>
          </w:p>
        </w:tc>
        <w:tc>
          <w:tcPr>
            <w:tcW w:w="2448" w:type="dxa"/>
            <w:shd w:val="clear" w:color="auto" w:fill="auto"/>
          </w:tcPr>
          <w:p w14:paraId="2E3FA61B" w14:textId="77777777" w:rsidR="00DD4046" w:rsidRPr="00784B23" w:rsidRDefault="00DD4046" w:rsidP="005108F9">
            <w:pPr>
              <w:autoSpaceDE w:val="0"/>
              <w:autoSpaceDN w:val="0"/>
              <w:adjustRightInd w:val="0"/>
              <w:spacing w:line="276" w:lineRule="auto"/>
              <w:ind w:right="60"/>
              <w:jc w:val="left"/>
              <w:rPr>
                <w:color w:val="000000" w:themeColor="text1"/>
                <w:sz w:val="18"/>
                <w:szCs w:val="18"/>
              </w:rPr>
            </w:pPr>
            <w:proofErr w:type="spellStart"/>
            <w:r w:rsidRPr="00784B23">
              <w:rPr>
                <w:color w:val="000000" w:themeColor="text1"/>
                <w:sz w:val="18"/>
                <w:szCs w:val="18"/>
              </w:rPr>
              <w:t>Dapa</w:t>
            </w:r>
            <w:proofErr w:type="spellEnd"/>
            <w:r w:rsidRPr="00784B23">
              <w:rPr>
                <w:color w:val="000000" w:themeColor="text1"/>
                <w:sz w:val="18"/>
                <w:szCs w:val="18"/>
              </w:rPr>
              <w:t xml:space="preserve"> + Met + </w:t>
            </w:r>
            <w:proofErr w:type="spellStart"/>
            <w:r w:rsidRPr="00784B23">
              <w:rPr>
                <w:color w:val="000000" w:themeColor="text1"/>
                <w:sz w:val="18"/>
                <w:szCs w:val="18"/>
              </w:rPr>
              <w:t>Saxa</w:t>
            </w:r>
            <w:proofErr w:type="spellEnd"/>
          </w:p>
        </w:tc>
        <w:tc>
          <w:tcPr>
            <w:tcW w:w="2448" w:type="dxa"/>
            <w:shd w:val="clear" w:color="auto" w:fill="auto"/>
          </w:tcPr>
          <w:p w14:paraId="5AD4306D" w14:textId="77777777" w:rsidR="00DD4046" w:rsidRPr="00784B23" w:rsidRDefault="00DD4046" w:rsidP="005108F9">
            <w:pPr>
              <w:autoSpaceDE w:val="0"/>
              <w:autoSpaceDN w:val="0"/>
              <w:adjustRightInd w:val="0"/>
              <w:spacing w:line="276" w:lineRule="auto"/>
              <w:ind w:right="60"/>
              <w:rPr>
                <w:color w:val="010205"/>
                <w:sz w:val="18"/>
                <w:szCs w:val="18"/>
              </w:rPr>
            </w:pPr>
            <w:r w:rsidRPr="00784B23">
              <w:rPr>
                <w:color w:val="010205"/>
                <w:sz w:val="18"/>
                <w:szCs w:val="18"/>
              </w:rPr>
              <w:t>.000</w:t>
            </w:r>
          </w:p>
        </w:tc>
      </w:tr>
      <w:tr w:rsidR="00DD4046" w:rsidRPr="00784B23" w14:paraId="616470B5" w14:textId="77777777" w:rsidTr="005108F9">
        <w:trPr>
          <w:jc w:val="center"/>
        </w:trPr>
        <w:tc>
          <w:tcPr>
            <w:tcW w:w="1530" w:type="dxa"/>
            <w:vMerge w:val="restart"/>
            <w:shd w:val="clear" w:color="auto" w:fill="auto"/>
          </w:tcPr>
          <w:p w14:paraId="1198DEEA" w14:textId="77777777" w:rsidR="00DD4046" w:rsidRPr="00784B23" w:rsidRDefault="00DD4046" w:rsidP="005108F9">
            <w:pPr>
              <w:autoSpaceDE w:val="0"/>
              <w:autoSpaceDN w:val="0"/>
              <w:adjustRightInd w:val="0"/>
              <w:spacing w:line="276" w:lineRule="auto"/>
              <w:ind w:right="60"/>
              <w:rPr>
                <w:color w:val="000000" w:themeColor="text1"/>
                <w:sz w:val="18"/>
                <w:szCs w:val="18"/>
              </w:rPr>
            </w:pPr>
            <w:r w:rsidRPr="00784B23">
              <w:rPr>
                <w:color w:val="000000" w:themeColor="text1"/>
                <w:sz w:val="18"/>
                <w:szCs w:val="18"/>
              </w:rPr>
              <w:t xml:space="preserve">Dapagliflozin + </w:t>
            </w:r>
            <w:proofErr w:type="spellStart"/>
            <w:r w:rsidRPr="00784B23">
              <w:rPr>
                <w:color w:val="000000" w:themeColor="text1"/>
                <w:sz w:val="18"/>
                <w:szCs w:val="18"/>
              </w:rPr>
              <w:t>Glimepirid</w:t>
            </w:r>
            <w:proofErr w:type="spellEnd"/>
          </w:p>
        </w:tc>
        <w:tc>
          <w:tcPr>
            <w:tcW w:w="2448" w:type="dxa"/>
            <w:shd w:val="clear" w:color="auto" w:fill="auto"/>
          </w:tcPr>
          <w:p w14:paraId="30AC7520" w14:textId="77777777" w:rsidR="00DD4046" w:rsidRPr="00784B23" w:rsidRDefault="00DD4046" w:rsidP="005108F9">
            <w:pPr>
              <w:autoSpaceDE w:val="0"/>
              <w:autoSpaceDN w:val="0"/>
              <w:adjustRightInd w:val="0"/>
              <w:spacing w:line="276" w:lineRule="auto"/>
              <w:ind w:right="60"/>
              <w:jc w:val="left"/>
              <w:rPr>
                <w:color w:val="000000" w:themeColor="text1"/>
                <w:sz w:val="18"/>
                <w:szCs w:val="18"/>
              </w:rPr>
            </w:pPr>
            <w:r w:rsidRPr="00784B23">
              <w:rPr>
                <w:color w:val="000000" w:themeColor="text1"/>
                <w:sz w:val="18"/>
                <w:szCs w:val="18"/>
              </w:rPr>
              <w:t>Dapagliflozin</w:t>
            </w:r>
          </w:p>
        </w:tc>
        <w:tc>
          <w:tcPr>
            <w:tcW w:w="2448" w:type="dxa"/>
            <w:shd w:val="clear" w:color="auto" w:fill="auto"/>
          </w:tcPr>
          <w:p w14:paraId="6316165A" w14:textId="77777777" w:rsidR="00DD4046" w:rsidRPr="00784B23" w:rsidRDefault="00DD4046" w:rsidP="005108F9">
            <w:pPr>
              <w:autoSpaceDE w:val="0"/>
              <w:autoSpaceDN w:val="0"/>
              <w:adjustRightInd w:val="0"/>
              <w:spacing w:line="276" w:lineRule="auto"/>
              <w:ind w:right="60"/>
              <w:rPr>
                <w:color w:val="010205"/>
                <w:sz w:val="18"/>
                <w:szCs w:val="18"/>
              </w:rPr>
            </w:pPr>
            <w:r w:rsidRPr="00784B23">
              <w:rPr>
                <w:color w:val="010205"/>
                <w:sz w:val="18"/>
                <w:szCs w:val="18"/>
              </w:rPr>
              <w:t>.694</w:t>
            </w:r>
          </w:p>
        </w:tc>
      </w:tr>
      <w:tr w:rsidR="00DD4046" w:rsidRPr="00784B23" w14:paraId="6B1CC449" w14:textId="77777777" w:rsidTr="005108F9">
        <w:trPr>
          <w:jc w:val="center"/>
        </w:trPr>
        <w:tc>
          <w:tcPr>
            <w:tcW w:w="1530" w:type="dxa"/>
            <w:vMerge/>
            <w:shd w:val="clear" w:color="auto" w:fill="auto"/>
          </w:tcPr>
          <w:p w14:paraId="6544ACD0" w14:textId="77777777" w:rsidR="00DD4046" w:rsidRPr="00784B23" w:rsidRDefault="00DD4046" w:rsidP="005108F9">
            <w:pPr>
              <w:autoSpaceDE w:val="0"/>
              <w:autoSpaceDN w:val="0"/>
              <w:adjustRightInd w:val="0"/>
              <w:spacing w:line="276" w:lineRule="auto"/>
              <w:rPr>
                <w:color w:val="000000" w:themeColor="text1"/>
                <w:sz w:val="18"/>
                <w:szCs w:val="18"/>
              </w:rPr>
            </w:pPr>
          </w:p>
        </w:tc>
        <w:tc>
          <w:tcPr>
            <w:tcW w:w="2448" w:type="dxa"/>
            <w:shd w:val="clear" w:color="auto" w:fill="auto"/>
          </w:tcPr>
          <w:p w14:paraId="16A69855" w14:textId="77777777" w:rsidR="00DD4046" w:rsidRPr="00784B23" w:rsidRDefault="00DD4046" w:rsidP="005108F9">
            <w:pPr>
              <w:autoSpaceDE w:val="0"/>
              <w:autoSpaceDN w:val="0"/>
              <w:adjustRightInd w:val="0"/>
              <w:spacing w:line="276" w:lineRule="auto"/>
              <w:ind w:right="60"/>
              <w:jc w:val="left"/>
              <w:rPr>
                <w:color w:val="000000" w:themeColor="text1"/>
                <w:sz w:val="18"/>
                <w:szCs w:val="18"/>
              </w:rPr>
            </w:pPr>
            <w:r w:rsidRPr="00784B23">
              <w:rPr>
                <w:color w:val="000000" w:themeColor="text1"/>
                <w:sz w:val="18"/>
                <w:szCs w:val="18"/>
              </w:rPr>
              <w:t>Dapagliflozin + Metformin</w:t>
            </w:r>
          </w:p>
        </w:tc>
        <w:tc>
          <w:tcPr>
            <w:tcW w:w="2448" w:type="dxa"/>
            <w:shd w:val="clear" w:color="auto" w:fill="auto"/>
          </w:tcPr>
          <w:p w14:paraId="102EB685" w14:textId="77777777" w:rsidR="00DD4046" w:rsidRPr="00784B23" w:rsidRDefault="00DD4046" w:rsidP="005108F9">
            <w:pPr>
              <w:autoSpaceDE w:val="0"/>
              <w:autoSpaceDN w:val="0"/>
              <w:adjustRightInd w:val="0"/>
              <w:spacing w:line="276" w:lineRule="auto"/>
              <w:ind w:right="60"/>
              <w:rPr>
                <w:color w:val="010205"/>
                <w:sz w:val="18"/>
                <w:szCs w:val="18"/>
              </w:rPr>
            </w:pPr>
            <w:r w:rsidRPr="00784B23">
              <w:rPr>
                <w:color w:val="010205"/>
                <w:sz w:val="18"/>
                <w:szCs w:val="18"/>
              </w:rPr>
              <w:t>.000</w:t>
            </w:r>
          </w:p>
        </w:tc>
      </w:tr>
      <w:tr w:rsidR="00DD4046" w:rsidRPr="00784B23" w14:paraId="7516DE59" w14:textId="77777777" w:rsidTr="005108F9">
        <w:trPr>
          <w:jc w:val="center"/>
        </w:trPr>
        <w:tc>
          <w:tcPr>
            <w:tcW w:w="1530" w:type="dxa"/>
            <w:vMerge/>
            <w:shd w:val="clear" w:color="auto" w:fill="auto"/>
          </w:tcPr>
          <w:p w14:paraId="49A318A8" w14:textId="77777777" w:rsidR="00DD4046" w:rsidRPr="00784B23" w:rsidRDefault="00DD4046" w:rsidP="005108F9">
            <w:pPr>
              <w:autoSpaceDE w:val="0"/>
              <w:autoSpaceDN w:val="0"/>
              <w:adjustRightInd w:val="0"/>
              <w:spacing w:line="276" w:lineRule="auto"/>
              <w:rPr>
                <w:color w:val="000000" w:themeColor="text1"/>
                <w:sz w:val="18"/>
                <w:szCs w:val="18"/>
              </w:rPr>
            </w:pPr>
          </w:p>
        </w:tc>
        <w:tc>
          <w:tcPr>
            <w:tcW w:w="2448" w:type="dxa"/>
            <w:shd w:val="clear" w:color="auto" w:fill="auto"/>
          </w:tcPr>
          <w:p w14:paraId="10F5D3DA" w14:textId="77777777" w:rsidR="00DD4046" w:rsidRPr="00784B23" w:rsidRDefault="00DD4046" w:rsidP="005108F9">
            <w:pPr>
              <w:autoSpaceDE w:val="0"/>
              <w:autoSpaceDN w:val="0"/>
              <w:adjustRightInd w:val="0"/>
              <w:spacing w:line="276" w:lineRule="auto"/>
              <w:ind w:right="60"/>
              <w:jc w:val="left"/>
              <w:rPr>
                <w:color w:val="000000" w:themeColor="text1"/>
                <w:sz w:val="18"/>
                <w:szCs w:val="18"/>
              </w:rPr>
            </w:pPr>
            <w:r w:rsidRPr="00784B23">
              <w:rPr>
                <w:color w:val="000000" w:themeColor="text1"/>
                <w:sz w:val="18"/>
                <w:szCs w:val="18"/>
              </w:rPr>
              <w:t xml:space="preserve">Dapagliflozin + </w:t>
            </w:r>
            <w:proofErr w:type="spellStart"/>
            <w:r w:rsidRPr="00784B23">
              <w:rPr>
                <w:color w:val="000000" w:themeColor="text1"/>
                <w:sz w:val="18"/>
                <w:szCs w:val="18"/>
              </w:rPr>
              <w:t>Saxagliptin</w:t>
            </w:r>
            <w:proofErr w:type="spellEnd"/>
          </w:p>
        </w:tc>
        <w:tc>
          <w:tcPr>
            <w:tcW w:w="2448" w:type="dxa"/>
            <w:shd w:val="clear" w:color="auto" w:fill="auto"/>
          </w:tcPr>
          <w:p w14:paraId="41CD1E79" w14:textId="77777777" w:rsidR="00DD4046" w:rsidRPr="00784B23" w:rsidRDefault="00DD4046" w:rsidP="005108F9">
            <w:pPr>
              <w:autoSpaceDE w:val="0"/>
              <w:autoSpaceDN w:val="0"/>
              <w:adjustRightInd w:val="0"/>
              <w:spacing w:line="276" w:lineRule="auto"/>
              <w:ind w:right="60"/>
              <w:rPr>
                <w:color w:val="010205"/>
                <w:sz w:val="18"/>
                <w:szCs w:val="18"/>
              </w:rPr>
            </w:pPr>
            <w:r w:rsidRPr="00784B23">
              <w:rPr>
                <w:color w:val="010205"/>
                <w:sz w:val="18"/>
                <w:szCs w:val="18"/>
              </w:rPr>
              <w:t>.013</w:t>
            </w:r>
          </w:p>
        </w:tc>
      </w:tr>
      <w:tr w:rsidR="00DD4046" w:rsidRPr="00784B23" w14:paraId="7B750745" w14:textId="77777777" w:rsidTr="005108F9">
        <w:trPr>
          <w:jc w:val="center"/>
        </w:trPr>
        <w:tc>
          <w:tcPr>
            <w:tcW w:w="1530" w:type="dxa"/>
            <w:vMerge/>
            <w:shd w:val="clear" w:color="auto" w:fill="auto"/>
          </w:tcPr>
          <w:p w14:paraId="095CE6BC" w14:textId="77777777" w:rsidR="00DD4046" w:rsidRPr="00784B23" w:rsidRDefault="00DD4046" w:rsidP="005108F9">
            <w:pPr>
              <w:autoSpaceDE w:val="0"/>
              <w:autoSpaceDN w:val="0"/>
              <w:adjustRightInd w:val="0"/>
              <w:spacing w:line="276" w:lineRule="auto"/>
              <w:rPr>
                <w:color w:val="000000" w:themeColor="text1"/>
                <w:sz w:val="18"/>
                <w:szCs w:val="18"/>
              </w:rPr>
            </w:pPr>
          </w:p>
        </w:tc>
        <w:tc>
          <w:tcPr>
            <w:tcW w:w="2448" w:type="dxa"/>
            <w:shd w:val="clear" w:color="auto" w:fill="auto"/>
          </w:tcPr>
          <w:p w14:paraId="4C0C6B13" w14:textId="77777777" w:rsidR="00DD4046" w:rsidRPr="00784B23" w:rsidRDefault="00DD4046" w:rsidP="005108F9">
            <w:pPr>
              <w:autoSpaceDE w:val="0"/>
              <w:autoSpaceDN w:val="0"/>
              <w:adjustRightInd w:val="0"/>
              <w:spacing w:line="276" w:lineRule="auto"/>
              <w:ind w:right="60"/>
              <w:jc w:val="left"/>
              <w:rPr>
                <w:color w:val="000000" w:themeColor="text1"/>
                <w:sz w:val="18"/>
                <w:szCs w:val="18"/>
              </w:rPr>
            </w:pPr>
            <w:proofErr w:type="spellStart"/>
            <w:r w:rsidRPr="00784B23">
              <w:rPr>
                <w:color w:val="000000" w:themeColor="text1"/>
                <w:sz w:val="18"/>
                <w:szCs w:val="18"/>
              </w:rPr>
              <w:t>Dapa</w:t>
            </w:r>
            <w:proofErr w:type="spellEnd"/>
            <w:r w:rsidRPr="00784B23">
              <w:rPr>
                <w:color w:val="000000" w:themeColor="text1"/>
                <w:sz w:val="18"/>
                <w:szCs w:val="18"/>
              </w:rPr>
              <w:t xml:space="preserve"> + Met + </w:t>
            </w:r>
            <w:proofErr w:type="spellStart"/>
            <w:r w:rsidRPr="00784B23">
              <w:rPr>
                <w:color w:val="000000" w:themeColor="text1"/>
                <w:sz w:val="18"/>
                <w:szCs w:val="18"/>
              </w:rPr>
              <w:t>Saxa</w:t>
            </w:r>
            <w:proofErr w:type="spellEnd"/>
          </w:p>
        </w:tc>
        <w:tc>
          <w:tcPr>
            <w:tcW w:w="2448" w:type="dxa"/>
            <w:shd w:val="clear" w:color="auto" w:fill="auto"/>
          </w:tcPr>
          <w:p w14:paraId="13749B43" w14:textId="77777777" w:rsidR="00DD4046" w:rsidRPr="00784B23" w:rsidRDefault="00DD4046" w:rsidP="005108F9">
            <w:pPr>
              <w:autoSpaceDE w:val="0"/>
              <w:autoSpaceDN w:val="0"/>
              <w:adjustRightInd w:val="0"/>
              <w:spacing w:line="276" w:lineRule="auto"/>
              <w:ind w:right="60"/>
              <w:rPr>
                <w:color w:val="010205"/>
                <w:sz w:val="18"/>
                <w:szCs w:val="18"/>
              </w:rPr>
            </w:pPr>
            <w:r w:rsidRPr="00784B23">
              <w:rPr>
                <w:color w:val="010205"/>
                <w:sz w:val="18"/>
                <w:szCs w:val="18"/>
              </w:rPr>
              <w:t>.000</w:t>
            </w:r>
          </w:p>
        </w:tc>
      </w:tr>
      <w:tr w:rsidR="00DD4046" w:rsidRPr="00784B23" w14:paraId="332D9B2C" w14:textId="77777777" w:rsidTr="005108F9">
        <w:trPr>
          <w:jc w:val="center"/>
        </w:trPr>
        <w:tc>
          <w:tcPr>
            <w:tcW w:w="1530" w:type="dxa"/>
            <w:vMerge w:val="restart"/>
            <w:shd w:val="clear" w:color="auto" w:fill="auto"/>
          </w:tcPr>
          <w:p w14:paraId="53A4C92B" w14:textId="77777777" w:rsidR="00DD4046" w:rsidRPr="00784B23" w:rsidRDefault="00DD4046" w:rsidP="005108F9">
            <w:pPr>
              <w:autoSpaceDE w:val="0"/>
              <w:autoSpaceDN w:val="0"/>
              <w:adjustRightInd w:val="0"/>
              <w:spacing w:line="276" w:lineRule="auto"/>
              <w:ind w:right="60"/>
              <w:rPr>
                <w:color w:val="000000" w:themeColor="text1"/>
                <w:sz w:val="18"/>
                <w:szCs w:val="18"/>
              </w:rPr>
            </w:pPr>
            <w:proofErr w:type="spellStart"/>
            <w:r w:rsidRPr="00784B23">
              <w:rPr>
                <w:color w:val="000000" w:themeColor="text1"/>
                <w:sz w:val="18"/>
                <w:szCs w:val="18"/>
              </w:rPr>
              <w:t>Dapa</w:t>
            </w:r>
            <w:proofErr w:type="spellEnd"/>
            <w:r w:rsidRPr="00784B23">
              <w:rPr>
                <w:color w:val="000000" w:themeColor="text1"/>
                <w:sz w:val="18"/>
                <w:szCs w:val="18"/>
              </w:rPr>
              <w:t xml:space="preserve"> + Met + </w:t>
            </w:r>
            <w:proofErr w:type="spellStart"/>
            <w:r w:rsidRPr="00784B23">
              <w:rPr>
                <w:color w:val="000000" w:themeColor="text1"/>
                <w:sz w:val="18"/>
                <w:szCs w:val="18"/>
              </w:rPr>
              <w:t>Saxa</w:t>
            </w:r>
            <w:proofErr w:type="spellEnd"/>
          </w:p>
        </w:tc>
        <w:tc>
          <w:tcPr>
            <w:tcW w:w="2448" w:type="dxa"/>
            <w:shd w:val="clear" w:color="auto" w:fill="auto"/>
          </w:tcPr>
          <w:p w14:paraId="73C64E0F" w14:textId="77777777" w:rsidR="00DD4046" w:rsidRPr="00784B23" w:rsidRDefault="00DD4046" w:rsidP="005108F9">
            <w:pPr>
              <w:autoSpaceDE w:val="0"/>
              <w:autoSpaceDN w:val="0"/>
              <w:adjustRightInd w:val="0"/>
              <w:spacing w:line="276" w:lineRule="auto"/>
              <w:ind w:right="60"/>
              <w:jc w:val="left"/>
              <w:rPr>
                <w:color w:val="000000" w:themeColor="text1"/>
                <w:sz w:val="18"/>
                <w:szCs w:val="18"/>
              </w:rPr>
            </w:pPr>
            <w:r w:rsidRPr="00784B23">
              <w:rPr>
                <w:color w:val="000000" w:themeColor="text1"/>
                <w:sz w:val="18"/>
                <w:szCs w:val="18"/>
              </w:rPr>
              <w:t>Dapagliflozin</w:t>
            </w:r>
          </w:p>
        </w:tc>
        <w:tc>
          <w:tcPr>
            <w:tcW w:w="2448" w:type="dxa"/>
            <w:shd w:val="clear" w:color="auto" w:fill="auto"/>
          </w:tcPr>
          <w:p w14:paraId="19AD94AE" w14:textId="77777777" w:rsidR="00DD4046" w:rsidRPr="00784B23" w:rsidRDefault="00DD4046" w:rsidP="005108F9">
            <w:pPr>
              <w:autoSpaceDE w:val="0"/>
              <w:autoSpaceDN w:val="0"/>
              <w:adjustRightInd w:val="0"/>
              <w:spacing w:line="276" w:lineRule="auto"/>
              <w:ind w:right="60"/>
              <w:rPr>
                <w:color w:val="010205"/>
                <w:sz w:val="18"/>
                <w:szCs w:val="18"/>
              </w:rPr>
            </w:pPr>
            <w:r w:rsidRPr="00784B23">
              <w:rPr>
                <w:color w:val="010205"/>
                <w:sz w:val="18"/>
                <w:szCs w:val="18"/>
              </w:rPr>
              <w:t>.000</w:t>
            </w:r>
          </w:p>
        </w:tc>
      </w:tr>
      <w:tr w:rsidR="00DD4046" w:rsidRPr="00784B23" w14:paraId="1B8B4D70" w14:textId="77777777" w:rsidTr="005108F9">
        <w:trPr>
          <w:jc w:val="center"/>
        </w:trPr>
        <w:tc>
          <w:tcPr>
            <w:tcW w:w="1530" w:type="dxa"/>
            <w:vMerge/>
            <w:shd w:val="clear" w:color="auto" w:fill="auto"/>
          </w:tcPr>
          <w:p w14:paraId="77A6B728" w14:textId="77777777" w:rsidR="00DD4046" w:rsidRPr="00784B23" w:rsidRDefault="00DD4046" w:rsidP="005108F9">
            <w:pPr>
              <w:autoSpaceDE w:val="0"/>
              <w:autoSpaceDN w:val="0"/>
              <w:adjustRightInd w:val="0"/>
              <w:spacing w:line="276" w:lineRule="auto"/>
              <w:rPr>
                <w:color w:val="000000" w:themeColor="text1"/>
                <w:sz w:val="18"/>
                <w:szCs w:val="18"/>
              </w:rPr>
            </w:pPr>
          </w:p>
        </w:tc>
        <w:tc>
          <w:tcPr>
            <w:tcW w:w="2448" w:type="dxa"/>
            <w:shd w:val="clear" w:color="auto" w:fill="auto"/>
          </w:tcPr>
          <w:p w14:paraId="51CD6102" w14:textId="77777777" w:rsidR="00DD4046" w:rsidRPr="00784B23" w:rsidRDefault="00DD4046" w:rsidP="005108F9">
            <w:pPr>
              <w:autoSpaceDE w:val="0"/>
              <w:autoSpaceDN w:val="0"/>
              <w:adjustRightInd w:val="0"/>
              <w:spacing w:line="276" w:lineRule="auto"/>
              <w:ind w:right="60"/>
              <w:jc w:val="left"/>
              <w:rPr>
                <w:color w:val="000000" w:themeColor="text1"/>
                <w:sz w:val="18"/>
                <w:szCs w:val="18"/>
              </w:rPr>
            </w:pPr>
            <w:r w:rsidRPr="00784B23">
              <w:rPr>
                <w:color w:val="000000" w:themeColor="text1"/>
                <w:sz w:val="18"/>
                <w:szCs w:val="18"/>
              </w:rPr>
              <w:t>Dapagliflozin + Metformin</w:t>
            </w:r>
          </w:p>
        </w:tc>
        <w:tc>
          <w:tcPr>
            <w:tcW w:w="2448" w:type="dxa"/>
            <w:shd w:val="clear" w:color="auto" w:fill="auto"/>
          </w:tcPr>
          <w:p w14:paraId="4F0F5DB8" w14:textId="77777777" w:rsidR="00DD4046" w:rsidRPr="00784B23" w:rsidRDefault="00DD4046" w:rsidP="005108F9">
            <w:pPr>
              <w:autoSpaceDE w:val="0"/>
              <w:autoSpaceDN w:val="0"/>
              <w:adjustRightInd w:val="0"/>
              <w:spacing w:line="276" w:lineRule="auto"/>
              <w:ind w:right="60"/>
              <w:rPr>
                <w:color w:val="010205"/>
                <w:sz w:val="18"/>
                <w:szCs w:val="18"/>
              </w:rPr>
            </w:pPr>
            <w:r w:rsidRPr="00784B23">
              <w:rPr>
                <w:color w:val="010205"/>
                <w:sz w:val="18"/>
                <w:szCs w:val="18"/>
              </w:rPr>
              <w:t>.079</w:t>
            </w:r>
          </w:p>
        </w:tc>
      </w:tr>
      <w:tr w:rsidR="00DD4046" w:rsidRPr="00784B23" w14:paraId="4A1F3B8A" w14:textId="77777777" w:rsidTr="005108F9">
        <w:trPr>
          <w:jc w:val="center"/>
        </w:trPr>
        <w:tc>
          <w:tcPr>
            <w:tcW w:w="1530" w:type="dxa"/>
            <w:vMerge/>
            <w:shd w:val="clear" w:color="auto" w:fill="auto"/>
          </w:tcPr>
          <w:p w14:paraId="4A268340" w14:textId="77777777" w:rsidR="00DD4046" w:rsidRPr="00784B23" w:rsidRDefault="00DD4046" w:rsidP="005108F9">
            <w:pPr>
              <w:autoSpaceDE w:val="0"/>
              <w:autoSpaceDN w:val="0"/>
              <w:adjustRightInd w:val="0"/>
              <w:spacing w:line="276" w:lineRule="auto"/>
              <w:rPr>
                <w:color w:val="010205"/>
                <w:sz w:val="18"/>
                <w:szCs w:val="18"/>
              </w:rPr>
            </w:pPr>
          </w:p>
        </w:tc>
        <w:tc>
          <w:tcPr>
            <w:tcW w:w="2448" w:type="dxa"/>
            <w:shd w:val="clear" w:color="auto" w:fill="auto"/>
          </w:tcPr>
          <w:p w14:paraId="4286059E" w14:textId="77777777" w:rsidR="00DD4046" w:rsidRPr="00784B23" w:rsidRDefault="00DD4046" w:rsidP="005108F9">
            <w:pPr>
              <w:autoSpaceDE w:val="0"/>
              <w:autoSpaceDN w:val="0"/>
              <w:adjustRightInd w:val="0"/>
              <w:spacing w:line="276" w:lineRule="auto"/>
              <w:ind w:right="60"/>
              <w:jc w:val="left"/>
              <w:rPr>
                <w:color w:val="000000" w:themeColor="text1"/>
                <w:sz w:val="18"/>
                <w:szCs w:val="18"/>
              </w:rPr>
            </w:pPr>
            <w:r w:rsidRPr="00784B23">
              <w:rPr>
                <w:color w:val="000000" w:themeColor="text1"/>
                <w:sz w:val="18"/>
                <w:szCs w:val="18"/>
              </w:rPr>
              <w:t xml:space="preserve">Dapagliflozin + </w:t>
            </w:r>
            <w:proofErr w:type="spellStart"/>
            <w:r w:rsidRPr="00784B23">
              <w:rPr>
                <w:color w:val="000000" w:themeColor="text1"/>
                <w:sz w:val="18"/>
                <w:szCs w:val="18"/>
              </w:rPr>
              <w:t>Saxagliptin</w:t>
            </w:r>
            <w:proofErr w:type="spellEnd"/>
          </w:p>
        </w:tc>
        <w:tc>
          <w:tcPr>
            <w:tcW w:w="2448" w:type="dxa"/>
            <w:shd w:val="clear" w:color="auto" w:fill="auto"/>
          </w:tcPr>
          <w:p w14:paraId="2A92504C" w14:textId="77777777" w:rsidR="00DD4046" w:rsidRPr="00784B23" w:rsidRDefault="00DD4046" w:rsidP="005108F9">
            <w:pPr>
              <w:autoSpaceDE w:val="0"/>
              <w:autoSpaceDN w:val="0"/>
              <w:adjustRightInd w:val="0"/>
              <w:spacing w:line="276" w:lineRule="auto"/>
              <w:ind w:right="60"/>
              <w:rPr>
                <w:color w:val="010205"/>
                <w:sz w:val="18"/>
                <w:szCs w:val="18"/>
              </w:rPr>
            </w:pPr>
            <w:r w:rsidRPr="00784B23">
              <w:rPr>
                <w:color w:val="010205"/>
                <w:sz w:val="18"/>
                <w:szCs w:val="18"/>
              </w:rPr>
              <w:t>.000</w:t>
            </w:r>
          </w:p>
        </w:tc>
      </w:tr>
      <w:tr w:rsidR="00DD4046" w:rsidRPr="00784B23" w14:paraId="3BC2BD65" w14:textId="77777777" w:rsidTr="005108F9">
        <w:trPr>
          <w:jc w:val="center"/>
        </w:trPr>
        <w:tc>
          <w:tcPr>
            <w:tcW w:w="1530" w:type="dxa"/>
            <w:vMerge/>
            <w:shd w:val="clear" w:color="auto" w:fill="auto"/>
          </w:tcPr>
          <w:p w14:paraId="2B3C055C" w14:textId="77777777" w:rsidR="00DD4046" w:rsidRPr="00784B23" w:rsidRDefault="00DD4046" w:rsidP="005108F9">
            <w:pPr>
              <w:autoSpaceDE w:val="0"/>
              <w:autoSpaceDN w:val="0"/>
              <w:adjustRightInd w:val="0"/>
              <w:spacing w:line="276" w:lineRule="auto"/>
              <w:rPr>
                <w:color w:val="010205"/>
                <w:sz w:val="18"/>
                <w:szCs w:val="18"/>
              </w:rPr>
            </w:pPr>
          </w:p>
        </w:tc>
        <w:tc>
          <w:tcPr>
            <w:tcW w:w="2448" w:type="dxa"/>
            <w:shd w:val="clear" w:color="auto" w:fill="auto"/>
          </w:tcPr>
          <w:p w14:paraId="38A6674D" w14:textId="77777777" w:rsidR="00DD4046" w:rsidRPr="00784B23" w:rsidRDefault="00DD4046" w:rsidP="005108F9">
            <w:pPr>
              <w:autoSpaceDE w:val="0"/>
              <w:autoSpaceDN w:val="0"/>
              <w:adjustRightInd w:val="0"/>
              <w:spacing w:line="276" w:lineRule="auto"/>
              <w:ind w:right="60"/>
              <w:jc w:val="left"/>
              <w:rPr>
                <w:color w:val="000000" w:themeColor="text1"/>
                <w:sz w:val="18"/>
                <w:szCs w:val="18"/>
              </w:rPr>
            </w:pPr>
            <w:r w:rsidRPr="00784B23">
              <w:rPr>
                <w:color w:val="000000" w:themeColor="text1"/>
                <w:sz w:val="18"/>
                <w:szCs w:val="18"/>
              </w:rPr>
              <w:t xml:space="preserve">Dapagliflozin + </w:t>
            </w:r>
            <w:proofErr w:type="spellStart"/>
            <w:r w:rsidRPr="00784B23">
              <w:rPr>
                <w:color w:val="000000" w:themeColor="text1"/>
                <w:sz w:val="18"/>
                <w:szCs w:val="18"/>
              </w:rPr>
              <w:t>Glimepirid</w:t>
            </w:r>
            <w:proofErr w:type="spellEnd"/>
          </w:p>
        </w:tc>
        <w:tc>
          <w:tcPr>
            <w:tcW w:w="2448" w:type="dxa"/>
            <w:shd w:val="clear" w:color="auto" w:fill="auto"/>
          </w:tcPr>
          <w:p w14:paraId="62D5B662" w14:textId="77777777" w:rsidR="00DD4046" w:rsidRPr="00784B23" w:rsidRDefault="00DD4046" w:rsidP="005108F9">
            <w:pPr>
              <w:autoSpaceDE w:val="0"/>
              <w:autoSpaceDN w:val="0"/>
              <w:adjustRightInd w:val="0"/>
              <w:spacing w:line="276" w:lineRule="auto"/>
              <w:ind w:right="60"/>
              <w:rPr>
                <w:color w:val="010205"/>
                <w:sz w:val="18"/>
                <w:szCs w:val="18"/>
              </w:rPr>
            </w:pPr>
            <w:r w:rsidRPr="00784B23">
              <w:rPr>
                <w:color w:val="010205"/>
                <w:sz w:val="18"/>
                <w:szCs w:val="18"/>
              </w:rPr>
              <w:t>.000</w:t>
            </w:r>
          </w:p>
        </w:tc>
      </w:tr>
    </w:tbl>
    <w:p w14:paraId="2A8019B6" w14:textId="77777777" w:rsidR="00DD4046" w:rsidRPr="007711C6" w:rsidRDefault="00DD4046" w:rsidP="00DD4046">
      <w:pPr>
        <w:tabs>
          <w:tab w:val="center" w:pos="4730"/>
        </w:tabs>
        <w:jc w:val="both"/>
        <w:sectPr w:rsidR="00DD4046" w:rsidRPr="007711C6" w:rsidSect="00325430">
          <w:type w:val="continuous"/>
          <w:pgSz w:w="11909" w:h="16834" w:code="9"/>
          <w:pgMar w:top="1440" w:right="1440" w:bottom="2016" w:left="1440" w:header="426" w:footer="720" w:gutter="0"/>
          <w:cols w:space="360"/>
          <w:docGrid w:linePitch="360"/>
        </w:sectPr>
      </w:pPr>
    </w:p>
    <w:p w14:paraId="09E5A9FC" w14:textId="75078B1A" w:rsidR="00DD4046" w:rsidRPr="00DD4046" w:rsidRDefault="00DD4046" w:rsidP="00DD4046">
      <w:pPr>
        <w:pStyle w:val="ListParagraph1"/>
        <w:spacing w:after="0" w:line="240" w:lineRule="auto"/>
        <w:ind w:left="0"/>
        <w:rPr>
          <w:rFonts w:ascii="Times New Roman" w:hAnsi="Times New Roman"/>
          <w:b/>
          <w:bCs/>
          <w:sz w:val="20"/>
          <w:szCs w:val="20"/>
        </w:rPr>
        <w:sectPr w:rsidR="00DD4046" w:rsidRPr="00DD4046" w:rsidSect="00325430">
          <w:type w:val="continuous"/>
          <w:pgSz w:w="11909" w:h="16834" w:code="9"/>
          <w:pgMar w:top="1440" w:right="1440" w:bottom="2016" w:left="1440" w:header="426" w:footer="720" w:gutter="0"/>
          <w:cols w:space="360"/>
          <w:docGrid w:linePitch="360"/>
        </w:sectPr>
      </w:pPr>
    </w:p>
    <w:p w14:paraId="4AB6E77C" w14:textId="77777777" w:rsidR="002F5D38" w:rsidRPr="00DF5934" w:rsidRDefault="002F5D38" w:rsidP="00DA7FA2">
      <w:pPr>
        <w:pStyle w:val="BodyText"/>
        <w:sectPr w:rsidR="002F5D38" w:rsidRPr="00DF5934" w:rsidSect="00325430">
          <w:type w:val="continuous"/>
          <w:pgSz w:w="11909" w:h="16834" w:code="9"/>
          <w:pgMar w:top="1440" w:right="1440" w:bottom="2016" w:left="1440" w:header="426" w:footer="720" w:gutter="0"/>
          <w:cols w:space="360"/>
          <w:docGrid w:linePitch="360"/>
        </w:sectPr>
      </w:pPr>
    </w:p>
    <w:p w14:paraId="3E346D22" w14:textId="77777777" w:rsidR="008E503B" w:rsidRDefault="008E503B" w:rsidP="00E62B57">
      <w:pPr>
        <w:jc w:val="both"/>
        <w:sectPr w:rsidR="008E503B" w:rsidSect="00325430">
          <w:type w:val="continuous"/>
          <w:pgSz w:w="11909" w:h="16834" w:code="9"/>
          <w:pgMar w:top="1440" w:right="1440" w:bottom="2016" w:left="1440" w:header="426" w:footer="720" w:gutter="0"/>
          <w:cols w:space="360"/>
          <w:docGrid w:linePitch="360"/>
        </w:sectPr>
      </w:pPr>
    </w:p>
    <w:p w14:paraId="7C4B8B43" w14:textId="77777777" w:rsidR="002F5D38" w:rsidRPr="00355A92" w:rsidRDefault="002F5D38" w:rsidP="00DA7FA2">
      <w:pPr>
        <w:pStyle w:val="BodyText"/>
        <w:sectPr w:rsidR="002F5D38" w:rsidRPr="00355A92" w:rsidSect="00325430">
          <w:type w:val="continuous"/>
          <w:pgSz w:w="11909" w:h="16834" w:code="9"/>
          <w:pgMar w:top="1440" w:right="1440" w:bottom="2016" w:left="1440" w:header="426" w:footer="720" w:gutter="0"/>
          <w:cols w:space="360"/>
          <w:docGrid w:linePitch="360"/>
        </w:sectPr>
      </w:pPr>
    </w:p>
    <w:p w14:paraId="792A8857" w14:textId="77777777" w:rsidR="00754DA7" w:rsidRPr="008917F3" w:rsidRDefault="00754DA7" w:rsidP="007711C6">
      <w:pPr>
        <w:pStyle w:val="IsiDaftarPustaka"/>
        <w:ind w:left="0" w:firstLine="0"/>
        <w:rPr>
          <w:rFonts w:eastAsia="Calibri"/>
        </w:rPr>
      </w:pPr>
    </w:p>
    <w:sectPr w:rsidR="00754DA7" w:rsidRPr="008917F3" w:rsidSect="00325430">
      <w:type w:val="continuous"/>
      <w:pgSz w:w="11909" w:h="16834" w:code="9"/>
      <w:pgMar w:top="1440" w:right="1440" w:bottom="2016" w:left="1440" w:header="426"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9D937" w14:textId="77777777" w:rsidR="0052026B" w:rsidRDefault="0052026B" w:rsidP="004A13DE">
      <w:r>
        <w:separator/>
      </w:r>
    </w:p>
  </w:endnote>
  <w:endnote w:type="continuationSeparator" w:id="0">
    <w:p w14:paraId="47B104DF" w14:textId="77777777" w:rsidR="0052026B" w:rsidRDefault="0052026B" w:rsidP="004A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224437"/>
      <w:docPartObj>
        <w:docPartGallery w:val="Page Numbers (Bottom of Page)"/>
        <w:docPartUnique/>
      </w:docPartObj>
    </w:sdtPr>
    <w:sdtEndPr>
      <w:rPr>
        <w:b/>
        <w:noProof/>
        <w:sz w:val="24"/>
        <w:szCs w:val="24"/>
      </w:rPr>
    </w:sdtEndPr>
    <w:sdtContent>
      <w:p w14:paraId="235EB7CB" w14:textId="77777777" w:rsidR="00E726ED" w:rsidRPr="00E726ED" w:rsidRDefault="00E726ED" w:rsidP="00E726ED">
        <w:pPr>
          <w:pStyle w:val="Footer"/>
          <w:jc w:val="left"/>
          <w:rPr>
            <w:b/>
            <w:sz w:val="24"/>
            <w:szCs w:val="24"/>
          </w:rPr>
        </w:pPr>
        <w:r w:rsidRPr="00E726ED">
          <w:rPr>
            <w:b/>
            <w:sz w:val="24"/>
            <w:szCs w:val="24"/>
          </w:rPr>
          <w:fldChar w:fldCharType="begin"/>
        </w:r>
        <w:r w:rsidRPr="00E726ED">
          <w:rPr>
            <w:b/>
            <w:sz w:val="24"/>
            <w:szCs w:val="24"/>
          </w:rPr>
          <w:instrText xml:space="preserve"> PAGE   \* MERGEFORMAT </w:instrText>
        </w:r>
        <w:r w:rsidRPr="00E726ED">
          <w:rPr>
            <w:b/>
            <w:sz w:val="24"/>
            <w:szCs w:val="24"/>
          </w:rPr>
          <w:fldChar w:fldCharType="separate"/>
        </w:r>
        <w:r w:rsidR="0075745D">
          <w:rPr>
            <w:b/>
            <w:noProof/>
            <w:sz w:val="24"/>
            <w:szCs w:val="24"/>
          </w:rPr>
          <w:t>4</w:t>
        </w:r>
        <w:r w:rsidRPr="00E726ED">
          <w:rPr>
            <w:b/>
            <w:noProof/>
            <w:sz w:val="24"/>
            <w:szCs w:val="24"/>
          </w:rPr>
          <w:fldChar w:fldCharType="end"/>
        </w:r>
      </w:p>
    </w:sdtContent>
  </w:sdt>
  <w:p w14:paraId="03BDA58A" w14:textId="77777777" w:rsidR="00E726ED" w:rsidRDefault="00E72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2E1D" w14:textId="77777777" w:rsidR="003B348F" w:rsidRDefault="003B348F">
    <w:pPr>
      <w:pStyle w:val="Footer"/>
    </w:pPr>
  </w:p>
  <w:p w14:paraId="445C1555" w14:textId="77777777" w:rsidR="003B348F" w:rsidRDefault="003B348F" w:rsidP="00C55DC5">
    <w:pPr>
      <w:pStyle w:val="Footer"/>
      <w:tabs>
        <w:tab w:val="left" w:pos="1440"/>
        <w:tab w:val="center" w:pos="482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E0E2D" w14:textId="77777777" w:rsidR="0052026B" w:rsidRDefault="0052026B" w:rsidP="004A13DE">
      <w:r>
        <w:separator/>
      </w:r>
    </w:p>
  </w:footnote>
  <w:footnote w:type="continuationSeparator" w:id="0">
    <w:p w14:paraId="42ECDE53" w14:textId="77777777" w:rsidR="0052026B" w:rsidRDefault="0052026B" w:rsidP="004A1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A0BF" w14:textId="77777777" w:rsidR="00E726ED" w:rsidRPr="00DD49BD" w:rsidRDefault="00E726ED" w:rsidP="00E726ED">
    <w:pPr>
      <w:autoSpaceDE w:val="0"/>
      <w:autoSpaceDN w:val="0"/>
      <w:adjustRightInd w:val="0"/>
      <w:ind w:right="-333"/>
      <w:jc w:val="right"/>
      <w:rPr>
        <w:b/>
        <w:bCs/>
        <w:i/>
        <w:iCs/>
        <w:color w:val="000000"/>
        <w:sz w:val="14"/>
        <w:szCs w:val="14"/>
      </w:rPr>
    </w:pPr>
    <w:proofErr w:type="spellStart"/>
    <w:r w:rsidRPr="00DD49BD">
      <w:rPr>
        <w:b/>
        <w:bCs/>
        <w:i/>
        <w:iCs/>
        <w:color w:val="000000"/>
        <w:sz w:val="14"/>
        <w:szCs w:val="14"/>
      </w:rPr>
      <w:t>Pharmacon</w:t>
    </w:r>
    <w:proofErr w:type="spellEnd"/>
    <w:r w:rsidRPr="00DD49BD">
      <w:rPr>
        <w:b/>
        <w:bCs/>
        <w:i/>
        <w:iCs/>
        <w:color w:val="000000"/>
        <w:sz w:val="14"/>
        <w:szCs w:val="14"/>
      </w:rPr>
      <w:t xml:space="preserve">: </w:t>
    </w:r>
    <w:proofErr w:type="spellStart"/>
    <w:r w:rsidRPr="00DD49BD">
      <w:rPr>
        <w:b/>
        <w:bCs/>
        <w:i/>
        <w:iCs/>
        <w:color w:val="000000"/>
        <w:sz w:val="14"/>
        <w:szCs w:val="14"/>
      </w:rPr>
      <w:t>Jurnal</w:t>
    </w:r>
    <w:proofErr w:type="spellEnd"/>
    <w:r w:rsidR="001A62AB">
      <w:rPr>
        <w:b/>
        <w:bCs/>
        <w:i/>
        <w:iCs/>
        <w:color w:val="000000"/>
        <w:sz w:val="14"/>
        <w:szCs w:val="14"/>
      </w:rPr>
      <w:t xml:space="preserve"> </w:t>
    </w:r>
    <w:proofErr w:type="spellStart"/>
    <w:r w:rsidR="001A62AB">
      <w:rPr>
        <w:b/>
        <w:bCs/>
        <w:i/>
        <w:iCs/>
        <w:color w:val="000000"/>
        <w:sz w:val="14"/>
        <w:szCs w:val="14"/>
      </w:rPr>
      <w:t>Farmasi</w:t>
    </w:r>
    <w:proofErr w:type="spellEnd"/>
    <w:r w:rsidR="001A62AB">
      <w:rPr>
        <w:b/>
        <w:bCs/>
        <w:i/>
        <w:iCs/>
        <w:color w:val="000000"/>
        <w:sz w:val="14"/>
        <w:szCs w:val="14"/>
      </w:rPr>
      <w:t xml:space="preserve"> Indonesia. Vol XX, No X, (20XX</w:t>
    </w:r>
    <w:r w:rsidRPr="00DD49BD">
      <w:rPr>
        <w:b/>
        <w:bCs/>
        <w:i/>
        <w:iCs/>
        <w:color w:val="000000"/>
        <w:sz w:val="14"/>
        <w:szCs w:val="14"/>
      </w:rPr>
      <w:t>). ISSN 1411-4283</w:t>
    </w:r>
  </w:p>
  <w:p w14:paraId="3E3ABE3E" w14:textId="77777777" w:rsidR="00E726ED" w:rsidRPr="00A321AE" w:rsidRDefault="00E726ED" w:rsidP="00E726ED">
    <w:pPr>
      <w:pStyle w:val="Header"/>
      <w:ind w:right="-333"/>
      <w:jc w:val="right"/>
      <w:rPr>
        <w:sz w:val="16"/>
        <w:szCs w:val="16"/>
      </w:rPr>
    </w:pPr>
    <w:r w:rsidRPr="00DD49BD">
      <w:rPr>
        <w:b/>
        <w:bCs/>
        <w:i/>
        <w:iCs/>
        <w:color w:val="000000"/>
        <w:sz w:val="14"/>
        <w:szCs w:val="14"/>
      </w:rPr>
      <w:t>Available online at: http://journals.ums.ac.id/index.php/pharmacon</w:t>
    </w:r>
  </w:p>
  <w:p w14:paraId="6EA117ED" w14:textId="77777777" w:rsidR="00E726ED" w:rsidRDefault="00E72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087"/>
    <w:multiLevelType w:val="hybridMultilevel"/>
    <w:tmpl w:val="54580664"/>
    <w:lvl w:ilvl="0" w:tplc="04090019">
      <w:start w:val="1"/>
      <w:numFmt w:val="lowerLetter"/>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1" w15:restartNumberingAfterBreak="0">
    <w:nsid w:val="176D5C58"/>
    <w:multiLevelType w:val="hybridMultilevel"/>
    <w:tmpl w:val="1486C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87104"/>
    <w:multiLevelType w:val="hybridMultilevel"/>
    <w:tmpl w:val="410E3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07CC6"/>
    <w:multiLevelType w:val="hybridMultilevel"/>
    <w:tmpl w:val="1D300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66BBC"/>
    <w:multiLevelType w:val="multilevel"/>
    <w:tmpl w:val="11D0E03E"/>
    <w:lvl w:ilvl="0">
      <w:start w:val="1"/>
      <w:numFmt w:val="decimal"/>
      <w:lvlText w:val="%1)"/>
      <w:lvlJc w:val="left"/>
      <w:pPr>
        <w:ind w:left="1800" w:hanging="360"/>
      </w:pPr>
      <w:rPr>
        <w:rFonts w:hint="default"/>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231B7648"/>
    <w:multiLevelType w:val="hybridMultilevel"/>
    <w:tmpl w:val="8EBE8366"/>
    <w:lvl w:ilvl="0" w:tplc="5914D46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260959C9"/>
    <w:multiLevelType w:val="multilevel"/>
    <w:tmpl w:val="49DE455E"/>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2DF95C99"/>
    <w:multiLevelType w:val="multilevel"/>
    <w:tmpl w:val="657CD1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1ED0992"/>
    <w:multiLevelType w:val="hybridMultilevel"/>
    <w:tmpl w:val="49C6BC06"/>
    <w:lvl w:ilvl="0" w:tplc="1A104ED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34BF4DB8"/>
    <w:multiLevelType w:val="hybridMultilevel"/>
    <w:tmpl w:val="885832C6"/>
    <w:lvl w:ilvl="0" w:tplc="4D563D9E">
      <w:start w:val="1"/>
      <w:numFmt w:val="decimal"/>
      <w:lvlText w:val="%1."/>
      <w:lvlJc w:val="left"/>
      <w:pPr>
        <w:ind w:left="1080" w:hanging="360"/>
      </w:pPr>
      <w:rPr>
        <w:rFonts w:hint="default"/>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4189603E"/>
    <w:multiLevelType w:val="multilevel"/>
    <w:tmpl w:val="D7B4B39C"/>
    <w:lvl w:ilvl="0">
      <w:start w:val="1"/>
      <w:numFmt w:val="decimal"/>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3E7358F"/>
    <w:multiLevelType w:val="multilevel"/>
    <w:tmpl w:val="76900A6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45BF6150"/>
    <w:multiLevelType w:val="hybridMultilevel"/>
    <w:tmpl w:val="9BC07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6C9514A"/>
    <w:multiLevelType w:val="hybridMultilevel"/>
    <w:tmpl w:val="E1C867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80E7675"/>
    <w:multiLevelType w:val="hybridMultilevel"/>
    <w:tmpl w:val="1B0E3C4E"/>
    <w:lvl w:ilvl="0" w:tplc="45600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13F24"/>
    <w:multiLevelType w:val="hybridMultilevel"/>
    <w:tmpl w:val="1B90D510"/>
    <w:lvl w:ilvl="0" w:tplc="4160953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5A7BA3"/>
    <w:multiLevelType w:val="multilevel"/>
    <w:tmpl w:val="4B5A7BA3"/>
    <w:lvl w:ilvl="0">
      <w:start w:val="1"/>
      <w:numFmt w:val="lowerLetter"/>
      <w:lvlText w:val="%1."/>
      <w:lvlJc w:val="left"/>
      <w:pPr>
        <w:ind w:left="1440" w:hanging="360"/>
      </w:pPr>
      <w:rPr>
        <w:rFonts w:hint="default"/>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BCD4B2B"/>
    <w:multiLevelType w:val="hybridMultilevel"/>
    <w:tmpl w:val="2BE66DB6"/>
    <w:lvl w:ilvl="0" w:tplc="9244BCD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50D4265B"/>
    <w:multiLevelType w:val="hybridMultilevel"/>
    <w:tmpl w:val="3690889E"/>
    <w:lvl w:ilvl="0" w:tplc="04090019">
      <w:start w:val="1"/>
      <w:numFmt w:val="lowerLetter"/>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19" w15:restartNumberingAfterBreak="0">
    <w:nsid w:val="5BEE7218"/>
    <w:multiLevelType w:val="hybridMultilevel"/>
    <w:tmpl w:val="C9F07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36F60"/>
    <w:multiLevelType w:val="multilevel"/>
    <w:tmpl w:val="61F36F60"/>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676B47A0"/>
    <w:multiLevelType w:val="hybridMultilevel"/>
    <w:tmpl w:val="348A0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81B3444"/>
    <w:multiLevelType w:val="hybridMultilevel"/>
    <w:tmpl w:val="54580664"/>
    <w:lvl w:ilvl="0" w:tplc="04090019">
      <w:start w:val="1"/>
      <w:numFmt w:val="lowerLetter"/>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23" w15:restartNumberingAfterBreak="0">
    <w:nsid w:val="69A23B4F"/>
    <w:multiLevelType w:val="multilevel"/>
    <w:tmpl w:val="11E03F6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7137091F"/>
    <w:multiLevelType w:val="hybridMultilevel"/>
    <w:tmpl w:val="B73E70A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4CE4E57"/>
    <w:multiLevelType w:val="multilevel"/>
    <w:tmpl w:val="51B2791E"/>
    <w:lvl w:ilvl="0">
      <w:start w:val="1"/>
      <w:numFmt w:val="decimal"/>
      <w:lvlText w:val="%1"/>
      <w:lvlJc w:val="left"/>
      <w:pPr>
        <w:ind w:left="360" w:hanging="360"/>
      </w:pPr>
      <w:rPr>
        <w:rFonts w:eastAsia="Calibri" w:hint="default"/>
      </w:rPr>
    </w:lvl>
    <w:lvl w:ilvl="1">
      <w:start w:val="1"/>
      <w:numFmt w:val="decimal"/>
      <w:lvlText w:val="%1.%2"/>
      <w:lvlJc w:val="left"/>
      <w:pPr>
        <w:ind w:left="1440" w:hanging="360"/>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3960" w:hanging="72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480" w:hanging="108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000" w:hanging="1440"/>
      </w:pPr>
      <w:rPr>
        <w:rFonts w:eastAsia="Calibri" w:hint="default"/>
      </w:rPr>
    </w:lvl>
    <w:lvl w:ilvl="8">
      <w:start w:val="1"/>
      <w:numFmt w:val="decimal"/>
      <w:lvlText w:val="%1.%2.%3.%4.%5.%6.%7.%8.%9"/>
      <w:lvlJc w:val="left"/>
      <w:pPr>
        <w:ind w:left="10440" w:hanging="1800"/>
      </w:pPr>
      <w:rPr>
        <w:rFonts w:eastAsia="Calibri" w:hint="default"/>
      </w:rPr>
    </w:lvl>
  </w:abstractNum>
  <w:num w:numId="1">
    <w:abstractNumId w:val="10"/>
  </w:num>
  <w:num w:numId="2">
    <w:abstractNumId w:val="6"/>
  </w:num>
  <w:num w:numId="3">
    <w:abstractNumId w:val="21"/>
  </w:num>
  <w:num w:numId="4">
    <w:abstractNumId w:val="3"/>
  </w:num>
  <w:num w:numId="5">
    <w:abstractNumId w:val="19"/>
  </w:num>
  <w:num w:numId="6">
    <w:abstractNumId w:val="12"/>
  </w:num>
  <w:num w:numId="7">
    <w:abstractNumId w:val="11"/>
  </w:num>
  <w:num w:numId="8">
    <w:abstractNumId w:val="16"/>
  </w:num>
  <w:num w:numId="9">
    <w:abstractNumId w:val="20"/>
  </w:num>
  <w:num w:numId="10">
    <w:abstractNumId w:val="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5"/>
  </w:num>
  <w:num w:numId="14">
    <w:abstractNumId w:val="25"/>
  </w:num>
  <w:num w:numId="15">
    <w:abstractNumId w:val="23"/>
  </w:num>
  <w:num w:numId="16">
    <w:abstractNumId w:val="7"/>
  </w:num>
  <w:num w:numId="17">
    <w:abstractNumId w:val="14"/>
  </w:num>
  <w:num w:numId="18">
    <w:abstractNumId w:val="1"/>
  </w:num>
  <w:num w:numId="19">
    <w:abstractNumId w:val="2"/>
  </w:num>
  <w:num w:numId="20">
    <w:abstractNumId w:val="22"/>
  </w:num>
  <w:num w:numId="21">
    <w:abstractNumId w:val="18"/>
  </w:num>
  <w:num w:numId="22">
    <w:abstractNumId w:val="0"/>
  </w:num>
  <w:num w:numId="23">
    <w:abstractNumId w:val="13"/>
  </w:num>
  <w:num w:numId="24">
    <w:abstractNumId w:val="8"/>
  </w:num>
  <w:num w:numId="25">
    <w:abstractNumId w:val="24"/>
  </w:num>
  <w:num w:numId="26">
    <w:abstractNumId w:val="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QwMzI2tjC3MDG2MDRQ0lEKTi0uzszPAykwrQUAVWFo7CwAAAA="/>
  </w:docVars>
  <w:rsids>
    <w:rsidRoot w:val="004A13DE"/>
    <w:rsid w:val="00000B4F"/>
    <w:rsid w:val="00006AA5"/>
    <w:rsid w:val="00021C08"/>
    <w:rsid w:val="00023FB2"/>
    <w:rsid w:val="00036F16"/>
    <w:rsid w:val="0005159F"/>
    <w:rsid w:val="0006506C"/>
    <w:rsid w:val="000722AC"/>
    <w:rsid w:val="00077877"/>
    <w:rsid w:val="0008254D"/>
    <w:rsid w:val="000908FA"/>
    <w:rsid w:val="000939F0"/>
    <w:rsid w:val="000B4E31"/>
    <w:rsid w:val="000B5531"/>
    <w:rsid w:val="000B6CF4"/>
    <w:rsid w:val="000E5E67"/>
    <w:rsid w:val="000E63BC"/>
    <w:rsid w:val="000F7549"/>
    <w:rsid w:val="00101EA5"/>
    <w:rsid w:val="00102256"/>
    <w:rsid w:val="00106647"/>
    <w:rsid w:val="00134046"/>
    <w:rsid w:val="00151B9C"/>
    <w:rsid w:val="0015391B"/>
    <w:rsid w:val="001628FD"/>
    <w:rsid w:val="00176CA9"/>
    <w:rsid w:val="00184AEE"/>
    <w:rsid w:val="0018549C"/>
    <w:rsid w:val="001877C3"/>
    <w:rsid w:val="001A2C9F"/>
    <w:rsid w:val="001A62AB"/>
    <w:rsid w:val="001C4A4B"/>
    <w:rsid w:val="001D0D4B"/>
    <w:rsid w:val="001D5B96"/>
    <w:rsid w:val="001E2399"/>
    <w:rsid w:val="001E700D"/>
    <w:rsid w:val="001F1575"/>
    <w:rsid w:val="001F1E9B"/>
    <w:rsid w:val="00211588"/>
    <w:rsid w:val="00216718"/>
    <w:rsid w:val="00223144"/>
    <w:rsid w:val="00227D87"/>
    <w:rsid w:val="00230183"/>
    <w:rsid w:val="00241118"/>
    <w:rsid w:val="00244F00"/>
    <w:rsid w:val="00251197"/>
    <w:rsid w:val="00253508"/>
    <w:rsid w:val="002616C9"/>
    <w:rsid w:val="00270C8C"/>
    <w:rsid w:val="0027669C"/>
    <w:rsid w:val="00280F2A"/>
    <w:rsid w:val="002856EC"/>
    <w:rsid w:val="00293201"/>
    <w:rsid w:val="00296433"/>
    <w:rsid w:val="002A16EB"/>
    <w:rsid w:val="002A3FF0"/>
    <w:rsid w:val="002A4413"/>
    <w:rsid w:val="002D439D"/>
    <w:rsid w:val="002D6050"/>
    <w:rsid w:val="002F43AE"/>
    <w:rsid w:val="002F5D38"/>
    <w:rsid w:val="003057FC"/>
    <w:rsid w:val="00325430"/>
    <w:rsid w:val="003335D1"/>
    <w:rsid w:val="00351E72"/>
    <w:rsid w:val="0035401A"/>
    <w:rsid w:val="00355A92"/>
    <w:rsid w:val="003564D9"/>
    <w:rsid w:val="00372D48"/>
    <w:rsid w:val="00387DEC"/>
    <w:rsid w:val="003B348F"/>
    <w:rsid w:val="003B4050"/>
    <w:rsid w:val="003C509A"/>
    <w:rsid w:val="003C5CC1"/>
    <w:rsid w:val="003C7CA2"/>
    <w:rsid w:val="003E21B6"/>
    <w:rsid w:val="003E3853"/>
    <w:rsid w:val="003F2FA2"/>
    <w:rsid w:val="003F37A6"/>
    <w:rsid w:val="00412089"/>
    <w:rsid w:val="004308D4"/>
    <w:rsid w:val="004524CD"/>
    <w:rsid w:val="00457D25"/>
    <w:rsid w:val="00466BE8"/>
    <w:rsid w:val="004829D7"/>
    <w:rsid w:val="004853A4"/>
    <w:rsid w:val="00485AC9"/>
    <w:rsid w:val="00487DF0"/>
    <w:rsid w:val="004A13DE"/>
    <w:rsid w:val="004C1C25"/>
    <w:rsid w:val="004D1641"/>
    <w:rsid w:val="004D7225"/>
    <w:rsid w:val="004E1192"/>
    <w:rsid w:val="0052026B"/>
    <w:rsid w:val="0052727B"/>
    <w:rsid w:val="00531B96"/>
    <w:rsid w:val="005446C1"/>
    <w:rsid w:val="0054573E"/>
    <w:rsid w:val="00566533"/>
    <w:rsid w:val="00581E8B"/>
    <w:rsid w:val="00582248"/>
    <w:rsid w:val="0059058C"/>
    <w:rsid w:val="005910E5"/>
    <w:rsid w:val="005A4464"/>
    <w:rsid w:val="005B07AD"/>
    <w:rsid w:val="005C193A"/>
    <w:rsid w:val="005F5F2F"/>
    <w:rsid w:val="005F61EE"/>
    <w:rsid w:val="00611F43"/>
    <w:rsid w:val="00613DBD"/>
    <w:rsid w:val="00616031"/>
    <w:rsid w:val="00637967"/>
    <w:rsid w:val="006514B6"/>
    <w:rsid w:val="00652550"/>
    <w:rsid w:val="0065535A"/>
    <w:rsid w:val="006574D4"/>
    <w:rsid w:val="00665B0E"/>
    <w:rsid w:val="006663B4"/>
    <w:rsid w:val="00685CFA"/>
    <w:rsid w:val="0069545F"/>
    <w:rsid w:val="00695AAF"/>
    <w:rsid w:val="00695FB9"/>
    <w:rsid w:val="006B286B"/>
    <w:rsid w:val="006C7AAC"/>
    <w:rsid w:val="006D4B2B"/>
    <w:rsid w:val="006F0286"/>
    <w:rsid w:val="006F46C5"/>
    <w:rsid w:val="006F50EA"/>
    <w:rsid w:val="006F7D84"/>
    <w:rsid w:val="0071012C"/>
    <w:rsid w:val="00714060"/>
    <w:rsid w:val="0074159F"/>
    <w:rsid w:val="00746286"/>
    <w:rsid w:val="007468B4"/>
    <w:rsid w:val="00754DA7"/>
    <w:rsid w:val="00755CB9"/>
    <w:rsid w:val="0075745D"/>
    <w:rsid w:val="00767522"/>
    <w:rsid w:val="007711C6"/>
    <w:rsid w:val="00773F6C"/>
    <w:rsid w:val="00776E59"/>
    <w:rsid w:val="007873BD"/>
    <w:rsid w:val="007C43F4"/>
    <w:rsid w:val="007C4440"/>
    <w:rsid w:val="007D6410"/>
    <w:rsid w:val="007D6854"/>
    <w:rsid w:val="007E108E"/>
    <w:rsid w:val="00800E96"/>
    <w:rsid w:val="0082644E"/>
    <w:rsid w:val="0082749C"/>
    <w:rsid w:val="00832869"/>
    <w:rsid w:val="00833EF0"/>
    <w:rsid w:val="00840A7A"/>
    <w:rsid w:val="00843402"/>
    <w:rsid w:val="008670D1"/>
    <w:rsid w:val="00871946"/>
    <w:rsid w:val="00877116"/>
    <w:rsid w:val="008917F3"/>
    <w:rsid w:val="00895081"/>
    <w:rsid w:val="00897996"/>
    <w:rsid w:val="008A3BBE"/>
    <w:rsid w:val="008A3F5A"/>
    <w:rsid w:val="008C7553"/>
    <w:rsid w:val="008E503B"/>
    <w:rsid w:val="008F51FD"/>
    <w:rsid w:val="009154FE"/>
    <w:rsid w:val="00925796"/>
    <w:rsid w:val="00931C8B"/>
    <w:rsid w:val="00933FDB"/>
    <w:rsid w:val="00952318"/>
    <w:rsid w:val="00961EDA"/>
    <w:rsid w:val="00981E44"/>
    <w:rsid w:val="00992285"/>
    <w:rsid w:val="009937BF"/>
    <w:rsid w:val="00993D98"/>
    <w:rsid w:val="00996080"/>
    <w:rsid w:val="009C1989"/>
    <w:rsid w:val="009D5633"/>
    <w:rsid w:val="009D7820"/>
    <w:rsid w:val="009E0E6D"/>
    <w:rsid w:val="00A01E23"/>
    <w:rsid w:val="00A02801"/>
    <w:rsid w:val="00A059EB"/>
    <w:rsid w:val="00A16DEB"/>
    <w:rsid w:val="00A45581"/>
    <w:rsid w:val="00A455E5"/>
    <w:rsid w:val="00A64667"/>
    <w:rsid w:val="00A7334D"/>
    <w:rsid w:val="00A81775"/>
    <w:rsid w:val="00A945B2"/>
    <w:rsid w:val="00AA12B8"/>
    <w:rsid w:val="00AB1336"/>
    <w:rsid w:val="00AB77AF"/>
    <w:rsid w:val="00AE645E"/>
    <w:rsid w:val="00AF04DA"/>
    <w:rsid w:val="00B13965"/>
    <w:rsid w:val="00B30244"/>
    <w:rsid w:val="00B30411"/>
    <w:rsid w:val="00B464FD"/>
    <w:rsid w:val="00B54B1A"/>
    <w:rsid w:val="00B73586"/>
    <w:rsid w:val="00B73C5A"/>
    <w:rsid w:val="00B8474B"/>
    <w:rsid w:val="00B85295"/>
    <w:rsid w:val="00B93304"/>
    <w:rsid w:val="00B94085"/>
    <w:rsid w:val="00B96CD3"/>
    <w:rsid w:val="00BA262C"/>
    <w:rsid w:val="00BA76D1"/>
    <w:rsid w:val="00BB15C3"/>
    <w:rsid w:val="00BB1926"/>
    <w:rsid w:val="00BB6E22"/>
    <w:rsid w:val="00BC50BB"/>
    <w:rsid w:val="00BE2BEF"/>
    <w:rsid w:val="00C0741B"/>
    <w:rsid w:val="00C11A56"/>
    <w:rsid w:val="00C3652B"/>
    <w:rsid w:val="00C46FDB"/>
    <w:rsid w:val="00C55DC5"/>
    <w:rsid w:val="00C63352"/>
    <w:rsid w:val="00C63910"/>
    <w:rsid w:val="00C647FE"/>
    <w:rsid w:val="00C73167"/>
    <w:rsid w:val="00C84ECA"/>
    <w:rsid w:val="00CA1881"/>
    <w:rsid w:val="00CA18BF"/>
    <w:rsid w:val="00CA4D67"/>
    <w:rsid w:val="00CC4C95"/>
    <w:rsid w:val="00CD4DE4"/>
    <w:rsid w:val="00CE6B89"/>
    <w:rsid w:val="00CF6E52"/>
    <w:rsid w:val="00CF72D7"/>
    <w:rsid w:val="00D17145"/>
    <w:rsid w:val="00D32FA5"/>
    <w:rsid w:val="00D40D46"/>
    <w:rsid w:val="00D4262F"/>
    <w:rsid w:val="00D577B2"/>
    <w:rsid w:val="00D57E77"/>
    <w:rsid w:val="00D710AC"/>
    <w:rsid w:val="00D726AF"/>
    <w:rsid w:val="00D77E17"/>
    <w:rsid w:val="00DA2B45"/>
    <w:rsid w:val="00DA7FA2"/>
    <w:rsid w:val="00DD4046"/>
    <w:rsid w:val="00DE73A3"/>
    <w:rsid w:val="00DF5934"/>
    <w:rsid w:val="00E10793"/>
    <w:rsid w:val="00E13D87"/>
    <w:rsid w:val="00E159B3"/>
    <w:rsid w:val="00E2499E"/>
    <w:rsid w:val="00E34364"/>
    <w:rsid w:val="00E36719"/>
    <w:rsid w:val="00E41313"/>
    <w:rsid w:val="00E45781"/>
    <w:rsid w:val="00E461DE"/>
    <w:rsid w:val="00E46814"/>
    <w:rsid w:val="00E4738C"/>
    <w:rsid w:val="00E524AF"/>
    <w:rsid w:val="00E5498E"/>
    <w:rsid w:val="00E61A43"/>
    <w:rsid w:val="00E627DB"/>
    <w:rsid w:val="00E62B57"/>
    <w:rsid w:val="00E6350F"/>
    <w:rsid w:val="00E64FED"/>
    <w:rsid w:val="00E65A60"/>
    <w:rsid w:val="00E726ED"/>
    <w:rsid w:val="00E76CD9"/>
    <w:rsid w:val="00E80AAF"/>
    <w:rsid w:val="00E83EC2"/>
    <w:rsid w:val="00E87482"/>
    <w:rsid w:val="00E95F21"/>
    <w:rsid w:val="00EA2EFB"/>
    <w:rsid w:val="00EA349C"/>
    <w:rsid w:val="00EA6C3C"/>
    <w:rsid w:val="00EC5B35"/>
    <w:rsid w:val="00ED163D"/>
    <w:rsid w:val="00ED763D"/>
    <w:rsid w:val="00EE02C9"/>
    <w:rsid w:val="00EF1D2B"/>
    <w:rsid w:val="00EF20A6"/>
    <w:rsid w:val="00EF2DE5"/>
    <w:rsid w:val="00F02759"/>
    <w:rsid w:val="00F02D40"/>
    <w:rsid w:val="00F46916"/>
    <w:rsid w:val="00F54A72"/>
    <w:rsid w:val="00F62404"/>
    <w:rsid w:val="00F84FDA"/>
    <w:rsid w:val="00F94B3E"/>
    <w:rsid w:val="00FA606F"/>
    <w:rsid w:val="00FB06BA"/>
    <w:rsid w:val="00FB6C6A"/>
    <w:rsid w:val="00FF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32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DE"/>
    <w:pPr>
      <w:jc w:val="center"/>
    </w:pPr>
    <w:rPr>
      <w:rFonts w:ascii="Times New Roman" w:eastAsia="SimSun" w:hAnsi="Times New Roman"/>
    </w:rPr>
  </w:style>
  <w:style w:type="paragraph" w:styleId="Heading1">
    <w:name w:val="heading 1"/>
    <w:aliases w:val="Heading"/>
    <w:basedOn w:val="Normal"/>
    <w:next w:val="Normal"/>
    <w:link w:val="Heading1Char"/>
    <w:autoRedefine/>
    <w:uiPriority w:val="9"/>
    <w:qFormat/>
    <w:rsid w:val="00A945B2"/>
    <w:pPr>
      <w:keepNext/>
      <w:keepLines/>
      <w:tabs>
        <w:tab w:val="left" w:pos="216"/>
      </w:tabs>
      <w:spacing w:before="120" w:after="120"/>
      <w:jc w:val="both"/>
      <w:outlineLvl w:val="0"/>
    </w:pPr>
    <w:rPr>
      <w:b/>
      <w:smallCaps/>
      <w:noProof/>
      <w:sz w:val="24"/>
    </w:rPr>
  </w:style>
  <w:style w:type="paragraph" w:styleId="Heading2">
    <w:name w:val="heading 2"/>
    <w:basedOn w:val="Normal"/>
    <w:next w:val="Normal"/>
    <w:link w:val="Heading2Char"/>
    <w:uiPriority w:val="9"/>
    <w:qFormat/>
    <w:rsid w:val="004A13DE"/>
    <w:pPr>
      <w:keepNext/>
      <w:keepLines/>
      <w:numPr>
        <w:ilvl w:val="1"/>
        <w:numId w:val="1"/>
      </w:numPr>
      <w:spacing w:before="120" w:after="40"/>
      <w:jc w:val="left"/>
      <w:outlineLvl w:val="1"/>
    </w:pPr>
    <w:rPr>
      <w:rFonts w:ascii="Garamond" w:hAnsi="Garamond"/>
      <w:iCs/>
      <w:noProof/>
    </w:rPr>
  </w:style>
  <w:style w:type="paragraph" w:styleId="Heading3">
    <w:name w:val="heading 3"/>
    <w:basedOn w:val="Normal"/>
    <w:next w:val="Normal"/>
    <w:link w:val="Heading3Char"/>
    <w:uiPriority w:val="9"/>
    <w:qFormat/>
    <w:rsid w:val="004A13DE"/>
    <w:pPr>
      <w:numPr>
        <w:ilvl w:val="2"/>
        <w:numId w:val="1"/>
      </w:numPr>
      <w:spacing w:line="240" w:lineRule="exact"/>
      <w:jc w:val="both"/>
      <w:outlineLvl w:val="2"/>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link w:val="Heading1"/>
    <w:uiPriority w:val="9"/>
    <w:rsid w:val="00A945B2"/>
    <w:rPr>
      <w:rFonts w:ascii="Times New Roman" w:eastAsia="SimSun" w:hAnsi="Times New Roman" w:cs="Times New Roman"/>
      <w:b/>
      <w:smallCaps/>
      <w:noProof/>
      <w:sz w:val="24"/>
      <w:szCs w:val="20"/>
    </w:rPr>
  </w:style>
  <w:style w:type="character" w:customStyle="1" w:styleId="Heading2Char">
    <w:name w:val="Heading 2 Char"/>
    <w:link w:val="Heading2"/>
    <w:uiPriority w:val="9"/>
    <w:rsid w:val="004A13DE"/>
    <w:rPr>
      <w:rFonts w:ascii="Garamond" w:eastAsia="SimSun" w:hAnsi="Garamond" w:cs="Times New Roman"/>
      <w:iCs/>
      <w:noProof/>
      <w:sz w:val="20"/>
      <w:szCs w:val="20"/>
    </w:rPr>
  </w:style>
  <w:style w:type="character" w:customStyle="1" w:styleId="Heading3Char">
    <w:name w:val="Heading 3 Char"/>
    <w:link w:val="Heading3"/>
    <w:uiPriority w:val="9"/>
    <w:rsid w:val="004A13DE"/>
    <w:rPr>
      <w:rFonts w:ascii="Times New Roman" w:eastAsia="SimSun" w:hAnsi="Times New Roman" w:cs="Times New Roman"/>
      <w:i/>
      <w:iCs/>
      <w:noProof/>
      <w:sz w:val="20"/>
      <w:szCs w:val="20"/>
    </w:rPr>
  </w:style>
  <w:style w:type="paragraph" w:styleId="BodyText">
    <w:name w:val="Body Text"/>
    <w:basedOn w:val="Normal"/>
    <w:link w:val="BodyTextChar"/>
    <w:autoRedefine/>
    <w:uiPriority w:val="99"/>
    <w:qFormat/>
    <w:rsid w:val="00DA7FA2"/>
    <w:pPr>
      <w:jc w:val="both"/>
    </w:pPr>
    <w:rPr>
      <w:spacing w:val="-1"/>
      <w:sz w:val="24"/>
      <w:lang w:val="id-ID"/>
    </w:rPr>
  </w:style>
  <w:style w:type="character" w:customStyle="1" w:styleId="BodyTextChar">
    <w:name w:val="Body Text Char"/>
    <w:link w:val="BodyText"/>
    <w:uiPriority w:val="99"/>
    <w:rsid w:val="00DA7FA2"/>
    <w:rPr>
      <w:rFonts w:ascii="Times New Roman" w:eastAsia="SimSun" w:hAnsi="Times New Roman"/>
      <w:spacing w:val="-1"/>
      <w:sz w:val="24"/>
      <w:lang w:val="id-ID"/>
    </w:rPr>
  </w:style>
  <w:style w:type="paragraph" w:customStyle="1" w:styleId="equation">
    <w:name w:val="equation"/>
    <w:basedOn w:val="Normal"/>
    <w:rsid w:val="004A13DE"/>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sid w:val="004A13DE"/>
    <w:rPr>
      <w:b/>
      <w:bCs/>
      <w:sz w:val="16"/>
      <w:szCs w:val="16"/>
    </w:rPr>
  </w:style>
  <w:style w:type="paragraph" w:customStyle="1" w:styleId="tablecolsubhead">
    <w:name w:val="table col subhead"/>
    <w:basedOn w:val="tablecolhead"/>
    <w:rsid w:val="004A13DE"/>
    <w:rPr>
      <w:i/>
      <w:iCs/>
      <w:sz w:val="15"/>
      <w:szCs w:val="15"/>
    </w:rPr>
  </w:style>
  <w:style w:type="paragraph" w:customStyle="1" w:styleId="tablecopy">
    <w:name w:val="table copy"/>
    <w:rsid w:val="004A13DE"/>
    <w:pPr>
      <w:jc w:val="both"/>
    </w:pPr>
    <w:rPr>
      <w:rFonts w:ascii="Times New Roman" w:eastAsia="SimSun" w:hAnsi="Times New Roman"/>
      <w:noProof/>
      <w:sz w:val="16"/>
      <w:szCs w:val="16"/>
    </w:rPr>
  </w:style>
  <w:style w:type="paragraph" w:customStyle="1" w:styleId="tablefootnote">
    <w:name w:val="table footnote"/>
    <w:rsid w:val="004A13DE"/>
    <w:pPr>
      <w:spacing w:before="60" w:after="30"/>
      <w:jc w:val="right"/>
    </w:pPr>
    <w:rPr>
      <w:rFonts w:ascii="Times New Roman" w:eastAsia="SimSun" w:hAnsi="Times New Roman"/>
      <w:sz w:val="12"/>
      <w:szCs w:val="12"/>
    </w:rPr>
  </w:style>
  <w:style w:type="paragraph" w:styleId="Header">
    <w:name w:val="header"/>
    <w:basedOn w:val="Normal"/>
    <w:link w:val="HeaderChar"/>
    <w:uiPriority w:val="99"/>
    <w:rsid w:val="004A13DE"/>
    <w:pPr>
      <w:tabs>
        <w:tab w:val="center" w:pos="4513"/>
        <w:tab w:val="right" w:pos="9026"/>
      </w:tabs>
    </w:pPr>
  </w:style>
  <w:style w:type="character" w:customStyle="1" w:styleId="HeaderChar">
    <w:name w:val="Header Char"/>
    <w:link w:val="Header"/>
    <w:uiPriority w:val="99"/>
    <w:rsid w:val="004A13DE"/>
    <w:rPr>
      <w:rFonts w:ascii="Times New Roman" w:eastAsia="SimSun" w:hAnsi="Times New Roman" w:cs="Times New Roman"/>
      <w:sz w:val="20"/>
      <w:szCs w:val="20"/>
    </w:rPr>
  </w:style>
  <w:style w:type="paragraph" w:styleId="Footer">
    <w:name w:val="footer"/>
    <w:basedOn w:val="Normal"/>
    <w:link w:val="FooterChar"/>
    <w:uiPriority w:val="99"/>
    <w:rsid w:val="004A13DE"/>
    <w:pPr>
      <w:tabs>
        <w:tab w:val="center" w:pos="4513"/>
        <w:tab w:val="right" w:pos="9026"/>
      </w:tabs>
    </w:pPr>
  </w:style>
  <w:style w:type="character" w:customStyle="1" w:styleId="FooterChar">
    <w:name w:val="Footer Char"/>
    <w:link w:val="Footer"/>
    <w:uiPriority w:val="99"/>
    <w:rsid w:val="004A13DE"/>
    <w:rPr>
      <w:rFonts w:ascii="Times New Roman" w:eastAsia="SimSun" w:hAnsi="Times New Roman" w:cs="Times New Roman"/>
      <w:sz w:val="20"/>
      <w:szCs w:val="20"/>
    </w:rPr>
  </w:style>
  <w:style w:type="paragraph" w:customStyle="1" w:styleId="Stylepapertitle14pt">
    <w:name w:val="Style paper title + 14 pt"/>
    <w:basedOn w:val="Normal"/>
    <w:rsid w:val="004A13DE"/>
    <w:pPr>
      <w:spacing w:after="120"/>
    </w:pPr>
    <w:rPr>
      <w:rFonts w:eastAsia="MS Mincho"/>
      <w:noProof/>
      <w:sz w:val="24"/>
      <w:szCs w:val="48"/>
    </w:rPr>
  </w:style>
  <w:style w:type="paragraph" w:customStyle="1" w:styleId="StyleAuthorBold">
    <w:name w:val="Style Author + Bold"/>
    <w:basedOn w:val="Normal"/>
    <w:link w:val="StyleAuthorBoldChar"/>
    <w:rsid w:val="004A13DE"/>
    <w:pPr>
      <w:spacing w:before="240" w:after="40"/>
    </w:pPr>
    <w:rPr>
      <w:b/>
      <w:bCs/>
      <w:noProof/>
      <w:sz w:val="22"/>
      <w:szCs w:val="22"/>
    </w:rPr>
  </w:style>
  <w:style w:type="paragraph" w:customStyle="1" w:styleId="Afiliasi">
    <w:name w:val="Afiliasi"/>
    <w:basedOn w:val="Normal"/>
    <w:qFormat/>
    <w:rsid w:val="004A13DE"/>
    <w:pPr>
      <w:spacing w:before="40" w:after="120"/>
      <w:contextualSpacing/>
    </w:pPr>
    <w:rPr>
      <w:rFonts w:ascii="Garamond" w:hAnsi="Garamond"/>
      <w:noProof/>
      <w:lang w:val="id-ID"/>
    </w:rPr>
  </w:style>
  <w:style w:type="paragraph" w:customStyle="1" w:styleId="abstrak">
    <w:name w:val="abstrak"/>
    <w:basedOn w:val="BodyText"/>
    <w:qFormat/>
    <w:rsid w:val="003E3853"/>
    <w:pPr>
      <w:spacing w:before="240"/>
      <w:ind w:left="562" w:right="562"/>
    </w:pPr>
    <w:rPr>
      <w:szCs w:val="24"/>
    </w:rPr>
  </w:style>
  <w:style w:type="character" w:styleId="Hyperlink">
    <w:name w:val="Hyperlink"/>
    <w:uiPriority w:val="99"/>
    <w:unhideWhenUsed/>
    <w:rsid w:val="004A13DE"/>
    <w:rPr>
      <w:rFonts w:cs="Times New Roman"/>
      <w:color w:val="0000FF"/>
      <w:u w:val="single"/>
    </w:rPr>
  </w:style>
  <w:style w:type="paragraph" w:styleId="Title">
    <w:name w:val="Title"/>
    <w:aliases w:val="Judul,Nama penulis"/>
    <w:basedOn w:val="Normal"/>
    <w:link w:val="TitleChar"/>
    <w:qFormat/>
    <w:rsid w:val="003E3853"/>
    <w:pPr>
      <w:spacing w:after="120"/>
    </w:pPr>
    <w:rPr>
      <w:rFonts w:eastAsia="MS Mincho"/>
      <w:b/>
      <w:noProof/>
      <w:sz w:val="24"/>
      <w:szCs w:val="48"/>
    </w:rPr>
  </w:style>
  <w:style w:type="character" w:customStyle="1" w:styleId="TitleChar">
    <w:name w:val="Title Char"/>
    <w:aliases w:val="Judul Char,Nama penulis Char"/>
    <w:link w:val="Title"/>
    <w:rsid w:val="003E3853"/>
    <w:rPr>
      <w:rFonts w:ascii="Times New Roman" w:eastAsia="MS Mincho" w:hAnsi="Times New Roman" w:cs="Times New Roman"/>
      <w:b/>
      <w:noProof/>
      <w:sz w:val="24"/>
      <w:szCs w:val="48"/>
    </w:rPr>
  </w:style>
  <w:style w:type="paragraph" w:customStyle="1" w:styleId="HeadingDaftarPustaka">
    <w:name w:val="Heading Daftar Pustaka"/>
    <w:basedOn w:val="Title"/>
    <w:link w:val="HeadingDaftarPustakaChar"/>
    <w:autoRedefine/>
    <w:qFormat/>
    <w:rsid w:val="00E62B57"/>
    <w:pPr>
      <w:spacing w:after="0"/>
    </w:pPr>
    <w:rPr>
      <w:szCs w:val="24"/>
    </w:rPr>
  </w:style>
  <w:style w:type="paragraph" w:customStyle="1" w:styleId="Pengarang">
    <w:name w:val="Pengarang"/>
    <w:basedOn w:val="StyleAuthorBold"/>
    <w:link w:val="PengarangChar"/>
    <w:qFormat/>
    <w:rsid w:val="004A13DE"/>
    <w:rPr>
      <w:rFonts w:ascii="Garamond" w:hAnsi="Garamond"/>
      <w:lang w:val="id-ID"/>
    </w:rPr>
  </w:style>
  <w:style w:type="paragraph" w:customStyle="1" w:styleId="HeadingAbstrak">
    <w:name w:val="Heading Abstrak"/>
    <w:basedOn w:val="StyleAuthorBold"/>
    <w:link w:val="HeadingAbstrakChar"/>
    <w:qFormat/>
    <w:rsid w:val="003E3853"/>
    <w:rPr>
      <w:lang w:val="id-ID"/>
    </w:rPr>
  </w:style>
  <w:style w:type="character" w:customStyle="1" w:styleId="StyleAuthorBoldChar">
    <w:name w:val="Style Author + Bold Char"/>
    <w:link w:val="StyleAuthorBold"/>
    <w:rsid w:val="004A13DE"/>
    <w:rPr>
      <w:rFonts w:ascii="Times New Roman" w:eastAsia="SimSun" w:hAnsi="Times New Roman" w:cs="Times New Roman"/>
      <w:b/>
      <w:bCs/>
      <w:noProof/>
    </w:rPr>
  </w:style>
  <w:style w:type="character" w:customStyle="1" w:styleId="PengarangChar">
    <w:name w:val="Pengarang Char"/>
    <w:link w:val="Pengarang"/>
    <w:rsid w:val="004A13DE"/>
    <w:rPr>
      <w:rFonts w:ascii="Garamond" w:eastAsia="SimSun" w:hAnsi="Garamond" w:cs="Times New Roman"/>
      <w:b/>
      <w:bCs/>
      <w:noProof/>
      <w:lang w:val="id-ID"/>
    </w:rPr>
  </w:style>
  <w:style w:type="paragraph" w:customStyle="1" w:styleId="Sub-Heading">
    <w:name w:val="Sub-Heading"/>
    <w:basedOn w:val="BodyText"/>
    <w:link w:val="Sub-HeadingChar"/>
    <w:autoRedefine/>
    <w:qFormat/>
    <w:rsid w:val="002F5D38"/>
    <w:pPr>
      <w:spacing w:after="120"/>
    </w:pPr>
    <w:rPr>
      <w:b/>
      <w:lang w:val="en-US"/>
    </w:rPr>
  </w:style>
  <w:style w:type="character" w:customStyle="1" w:styleId="HeadingAbstrakChar">
    <w:name w:val="Heading Abstrak Char"/>
    <w:link w:val="HeadingAbstrak"/>
    <w:rsid w:val="003E3853"/>
    <w:rPr>
      <w:rFonts w:ascii="Times New Roman" w:eastAsia="SimSun" w:hAnsi="Times New Roman" w:cs="Times New Roman"/>
      <w:b/>
      <w:bCs/>
      <w:noProof/>
      <w:lang w:val="id-ID"/>
    </w:rPr>
  </w:style>
  <w:style w:type="paragraph" w:styleId="ListParagraph">
    <w:name w:val="List Paragraph"/>
    <w:aliases w:val="Paragraph"/>
    <w:basedOn w:val="Normal"/>
    <w:uiPriority w:val="34"/>
    <w:qFormat/>
    <w:rsid w:val="004A13DE"/>
    <w:pPr>
      <w:ind w:left="720"/>
      <w:contextualSpacing/>
    </w:pPr>
  </w:style>
  <w:style w:type="character" w:customStyle="1" w:styleId="Sub-HeadingChar">
    <w:name w:val="Sub-Heading Char"/>
    <w:link w:val="Sub-Heading"/>
    <w:rsid w:val="002F5D38"/>
    <w:rPr>
      <w:rFonts w:ascii="Times New Roman" w:eastAsia="SimSun" w:hAnsi="Times New Roman" w:cs="Times New Roman"/>
      <w:b/>
      <w:spacing w:val="-1"/>
      <w:sz w:val="24"/>
      <w:szCs w:val="20"/>
      <w:lang w:val="id-ID"/>
    </w:rPr>
  </w:style>
  <w:style w:type="paragraph" w:customStyle="1" w:styleId="IsiDaftarPustaka">
    <w:name w:val="Isi Daftar Pustaka"/>
    <w:basedOn w:val="Normal"/>
    <w:link w:val="IsiDaftarPustakaChar"/>
    <w:qFormat/>
    <w:rsid w:val="00F02759"/>
    <w:pPr>
      <w:widowControl w:val="0"/>
      <w:autoSpaceDE w:val="0"/>
      <w:autoSpaceDN w:val="0"/>
      <w:adjustRightInd w:val="0"/>
      <w:spacing w:before="120" w:after="120"/>
      <w:ind w:left="475" w:hanging="475"/>
      <w:jc w:val="both"/>
    </w:pPr>
    <w:rPr>
      <w:sz w:val="24"/>
    </w:rPr>
  </w:style>
  <w:style w:type="character" w:customStyle="1" w:styleId="IsiDaftarPustakaChar">
    <w:name w:val="Isi Daftar Pustaka Char"/>
    <w:link w:val="IsiDaftarPustaka"/>
    <w:rsid w:val="00F02759"/>
    <w:rPr>
      <w:rFonts w:ascii="Times New Roman" w:eastAsia="SimSun" w:hAnsi="Times New Roman" w:cs="Times New Roman"/>
      <w:sz w:val="24"/>
      <w:szCs w:val="20"/>
    </w:rPr>
  </w:style>
  <w:style w:type="paragraph" w:customStyle="1" w:styleId="FirstParagraph">
    <w:name w:val="First Paragraph"/>
    <w:basedOn w:val="Normal"/>
    <w:link w:val="FirstParagraphChar"/>
    <w:autoRedefine/>
    <w:qFormat/>
    <w:rsid w:val="00DF5934"/>
    <w:pPr>
      <w:ind w:left="426"/>
      <w:jc w:val="both"/>
    </w:pPr>
    <w:rPr>
      <w:spacing w:val="-1"/>
      <w:sz w:val="24"/>
      <w:lang w:val="id-ID"/>
    </w:rPr>
  </w:style>
  <w:style w:type="paragraph" w:customStyle="1" w:styleId="HeadingPersantunan">
    <w:name w:val="Heading Persantunan"/>
    <w:basedOn w:val="HeadingDaftarPustaka"/>
    <w:link w:val="HeadingPersantunanChar"/>
    <w:autoRedefine/>
    <w:qFormat/>
    <w:rsid w:val="00F02759"/>
  </w:style>
  <w:style w:type="character" w:customStyle="1" w:styleId="FirstParagraphChar">
    <w:name w:val="First Paragraph Char"/>
    <w:link w:val="FirstParagraph"/>
    <w:rsid w:val="00DF5934"/>
    <w:rPr>
      <w:rFonts w:ascii="Times New Roman" w:eastAsia="SimSun" w:hAnsi="Times New Roman"/>
      <w:spacing w:val="-1"/>
      <w:sz w:val="24"/>
      <w:lang w:val="id-ID"/>
    </w:rPr>
  </w:style>
  <w:style w:type="character" w:customStyle="1" w:styleId="HeadingDaftarPustakaChar">
    <w:name w:val="Heading Daftar Pustaka Char"/>
    <w:link w:val="HeadingDaftarPustaka"/>
    <w:rsid w:val="00E62B57"/>
    <w:rPr>
      <w:rFonts w:ascii="Times New Roman" w:eastAsia="MS Mincho" w:hAnsi="Times New Roman"/>
      <w:b/>
      <w:noProof/>
      <w:sz w:val="24"/>
      <w:szCs w:val="24"/>
    </w:rPr>
  </w:style>
  <w:style w:type="character" w:customStyle="1" w:styleId="HeadingPersantunanChar">
    <w:name w:val="Heading Persantunan Char"/>
    <w:link w:val="HeadingPersantunan"/>
    <w:rsid w:val="00F02759"/>
    <w:rPr>
      <w:rFonts w:ascii="Times New Roman" w:eastAsia="MS Mincho" w:hAnsi="Times New Roman" w:cs="Times New Roman"/>
      <w:b/>
      <w:noProof/>
      <w:sz w:val="24"/>
      <w:szCs w:val="24"/>
    </w:rPr>
  </w:style>
  <w:style w:type="paragraph" w:styleId="BalloonText">
    <w:name w:val="Balloon Text"/>
    <w:basedOn w:val="Normal"/>
    <w:link w:val="BalloonTextChar"/>
    <w:uiPriority w:val="99"/>
    <w:semiHidden/>
    <w:unhideWhenUsed/>
    <w:rsid w:val="0059058C"/>
    <w:rPr>
      <w:rFonts w:ascii="Tahoma" w:hAnsi="Tahoma" w:cs="Tahoma"/>
      <w:sz w:val="16"/>
      <w:szCs w:val="16"/>
    </w:rPr>
  </w:style>
  <w:style w:type="character" w:customStyle="1" w:styleId="BalloonTextChar">
    <w:name w:val="Balloon Text Char"/>
    <w:link w:val="BalloonText"/>
    <w:uiPriority w:val="99"/>
    <w:semiHidden/>
    <w:rsid w:val="0059058C"/>
    <w:rPr>
      <w:rFonts w:ascii="Tahoma" w:eastAsia="SimSun" w:hAnsi="Tahoma" w:cs="Tahoma"/>
      <w:sz w:val="16"/>
      <w:szCs w:val="16"/>
    </w:rPr>
  </w:style>
  <w:style w:type="paragraph" w:customStyle="1" w:styleId="HALAMANJUDUL">
    <w:name w:val="HALAMAN JUDUL"/>
    <w:basedOn w:val="Normal"/>
    <w:link w:val="HALAMANJUDULChar"/>
    <w:qFormat/>
    <w:rsid w:val="00EE02C9"/>
    <w:rPr>
      <w:rFonts w:eastAsia="Calibri"/>
      <w:b/>
      <w:bCs/>
      <w:kern w:val="24"/>
      <w:sz w:val="28"/>
      <w:szCs w:val="28"/>
    </w:rPr>
  </w:style>
  <w:style w:type="paragraph" w:customStyle="1" w:styleId="HALAMANJUDUL2">
    <w:name w:val="HALAMAN JUDUL 2"/>
    <w:basedOn w:val="Normal"/>
    <w:link w:val="HALAMANJUDUL2Char"/>
    <w:qFormat/>
    <w:rsid w:val="005F5F2F"/>
    <w:pPr>
      <w:widowControl w:val="0"/>
      <w:kinsoku w:val="0"/>
    </w:pPr>
    <w:rPr>
      <w:rFonts w:ascii="Garamond" w:eastAsia="Calibri" w:hAnsi="Garamond"/>
      <w:b/>
      <w:bCs/>
      <w:sz w:val="24"/>
      <w:szCs w:val="24"/>
    </w:rPr>
  </w:style>
  <w:style w:type="character" w:customStyle="1" w:styleId="HALAMANJUDULChar">
    <w:name w:val="HALAMAN JUDUL Char"/>
    <w:link w:val="HALAMANJUDUL"/>
    <w:rsid w:val="00EE02C9"/>
    <w:rPr>
      <w:rFonts w:ascii="Times New Roman" w:eastAsia="Calibri" w:hAnsi="Times New Roman" w:cs="Times New Roman"/>
      <w:b/>
      <w:bCs/>
      <w:kern w:val="24"/>
      <w:sz w:val="28"/>
      <w:szCs w:val="28"/>
    </w:rPr>
  </w:style>
  <w:style w:type="paragraph" w:customStyle="1" w:styleId="HALAMANJUDUL3">
    <w:name w:val="HALAMAN JUDUL 3"/>
    <w:basedOn w:val="Normal"/>
    <w:link w:val="HALAMANJUDUL3Char"/>
    <w:qFormat/>
    <w:rsid w:val="00EE02C9"/>
    <w:pPr>
      <w:widowControl w:val="0"/>
      <w:kinsoku w:val="0"/>
      <w:spacing w:line="360" w:lineRule="auto"/>
      <w:ind w:left="288"/>
    </w:pPr>
    <w:rPr>
      <w:rFonts w:eastAsia="Calibri"/>
      <w:b/>
      <w:bCs/>
      <w:sz w:val="22"/>
      <w:szCs w:val="22"/>
    </w:rPr>
  </w:style>
  <w:style w:type="character" w:customStyle="1" w:styleId="HALAMANJUDUL2Char">
    <w:name w:val="HALAMAN JUDUL 2 Char"/>
    <w:link w:val="HALAMANJUDUL2"/>
    <w:rsid w:val="005F5F2F"/>
    <w:rPr>
      <w:rFonts w:ascii="Garamond" w:eastAsia="Calibri" w:hAnsi="Garamond" w:cs="Times New Roman"/>
      <w:b/>
      <w:bCs/>
      <w:sz w:val="24"/>
      <w:szCs w:val="24"/>
    </w:rPr>
  </w:style>
  <w:style w:type="paragraph" w:customStyle="1" w:styleId="HALAMANJUDULNAMA">
    <w:name w:val="HALAMAN JUDUL NAMA"/>
    <w:basedOn w:val="Normal"/>
    <w:link w:val="HALAMANJUDULNAMAChar"/>
    <w:qFormat/>
    <w:rsid w:val="00EE02C9"/>
    <w:pPr>
      <w:widowControl w:val="0"/>
      <w:kinsoku w:val="0"/>
      <w:spacing w:line="360" w:lineRule="auto"/>
      <w:ind w:left="360"/>
    </w:pPr>
    <w:rPr>
      <w:rFonts w:eastAsia="Calibri"/>
      <w:kern w:val="24"/>
      <w:sz w:val="24"/>
      <w:szCs w:val="24"/>
      <w:u w:val="single"/>
    </w:rPr>
  </w:style>
  <w:style w:type="character" w:customStyle="1" w:styleId="HALAMANJUDUL3Char">
    <w:name w:val="HALAMAN JUDUL 3 Char"/>
    <w:link w:val="HALAMANJUDUL3"/>
    <w:rsid w:val="00EE02C9"/>
    <w:rPr>
      <w:rFonts w:ascii="Times New Roman" w:eastAsia="Calibri" w:hAnsi="Times New Roman" w:cs="Times New Roman"/>
      <w:b/>
      <w:bCs/>
    </w:rPr>
  </w:style>
  <w:style w:type="paragraph" w:customStyle="1" w:styleId="HALAMANJUDULNIM">
    <w:name w:val="HALAMAN JUDUL NIM"/>
    <w:basedOn w:val="Normal"/>
    <w:link w:val="HALAMANJUDULNIMChar"/>
    <w:autoRedefine/>
    <w:qFormat/>
    <w:rsid w:val="005F5F2F"/>
    <w:pPr>
      <w:widowControl w:val="0"/>
      <w:kinsoku w:val="0"/>
      <w:spacing w:line="360" w:lineRule="auto"/>
      <w:ind w:left="360"/>
    </w:pPr>
    <w:rPr>
      <w:rFonts w:eastAsia="Calibri"/>
      <w:b/>
      <w:kern w:val="24"/>
      <w:sz w:val="24"/>
      <w:szCs w:val="24"/>
    </w:rPr>
  </w:style>
  <w:style w:type="character" w:customStyle="1" w:styleId="HALAMANJUDULNAMAChar">
    <w:name w:val="HALAMAN JUDUL NAMA Char"/>
    <w:link w:val="HALAMANJUDULNAMA"/>
    <w:rsid w:val="00EE02C9"/>
    <w:rPr>
      <w:rFonts w:ascii="Times New Roman" w:eastAsia="Calibri" w:hAnsi="Times New Roman" w:cs="Times New Roman"/>
      <w:kern w:val="24"/>
      <w:sz w:val="24"/>
      <w:szCs w:val="24"/>
      <w:u w:val="single"/>
    </w:rPr>
  </w:style>
  <w:style w:type="character" w:customStyle="1" w:styleId="HALAMANJUDULNIMChar">
    <w:name w:val="HALAMAN JUDUL NIM Char"/>
    <w:link w:val="HALAMANJUDULNIM"/>
    <w:rsid w:val="005F5F2F"/>
    <w:rPr>
      <w:rFonts w:ascii="Times New Roman" w:eastAsia="Calibri" w:hAnsi="Times New Roman" w:cs="Times New Roman"/>
      <w:b/>
      <w:kern w:val="24"/>
      <w:sz w:val="24"/>
      <w:szCs w:val="24"/>
    </w:rPr>
  </w:style>
  <w:style w:type="paragraph" w:customStyle="1" w:styleId="HALAMANPERSETUJUAN">
    <w:name w:val="HALAMAN PERSETUJUAN"/>
    <w:basedOn w:val="Normal"/>
    <w:link w:val="HALAMANPERSETUJUANChar"/>
    <w:autoRedefine/>
    <w:qFormat/>
    <w:rsid w:val="00EE02C9"/>
    <w:pPr>
      <w:widowControl w:val="0"/>
      <w:tabs>
        <w:tab w:val="left" w:pos="2977"/>
        <w:tab w:val="right" w:pos="6739"/>
      </w:tabs>
      <w:kinsoku w:val="0"/>
      <w:spacing w:line="360" w:lineRule="auto"/>
      <w:ind w:right="72"/>
    </w:pPr>
    <w:rPr>
      <w:rFonts w:eastAsia="Calibri"/>
      <w:b/>
      <w:bCs/>
      <w:sz w:val="24"/>
      <w:szCs w:val="24"/>
    </w:rPr>
  </w:style>
  <w:style w:type="paragraph" w:customStyle="1" w:styleId="JUDULHALAMANPERSETUJUAN">
    <w:name w:val="JUDUL HALAMAN PERSETUJUAN"/>
    <w:basedOn w:val="Normal"/>
    <w:link w:val="JUDULHALAMANPERSETUJUANChar"/>
    <w:autoRedefine/>
    <w:qFormat/>
    <w:rsid w:val="00EE02C9"/>
    <w:rPr>
      <w:rFonts w:eastAsia="Calibri"/>
      <w:b/>
      <w:bCs/>
      <w:kern w:val="24"/>
      <w:sz w:val="28"/>
      <w:szCs w:val="28"/>
    </w:rPr>
  </w:style>
  <w:style w:type="character" w:customStyle="1" w:styleId="HALAMANPERSETUJUANChar">
    <w:name w:val="HALAMAN PERSETUJUAN Char"/>
    <w:link w:val="HALAMANPERSETUJUAN"/>
    <w:rsid w:val="00EE02C9"/>
    <w:rPr>
      <w:rFonts w:ascii="Times New Roman" w:eastAsia="Calibri" w:hAnsi="Times New Roman" w:cs="Times New Roman"/>
      <w:b/>
      <w:bCs/>
      <w:sz w:val="24"/>
      <w:szCs w:val="24"/>
    </w:rPr>
  </w:style>
  <w:style w:type="paragraph" w:customStyle="1" w:styleId="NAMAHALAMANPERSETUJUAN">
    <w:name w:val="NAMA HALAMAN PERSETUJUAN"/>
    <w:basedOn w:val="Normal"/>
    <w:link w:val="NAMAHALAMANPERSETUJUANChar"/>
    <w:autoRedefine/>
    <w:qFormat/>
    <w:rsid w:val="00EE02C9"/>
    <w:pPr>
      <w:widowControl w:val="0"/>
      <w:tabs>
        <w:tab w:val="left" w:pos="2977"/>
        <w:tab w:val="right" w:pos="6739"/>
      </w:tabs>
      <w:kinsoku w:val="0"/>
      <w:spacing w:line="360" w:lineRule="auto"/>
      <w:ind w:right="72"/>
    </w:pPr>
    <w:rPr>
      <w:rFonts w:eastAsia="Calibri"/>
      <w:b/>
      <w:bCs/>
      <w:sz w:val="24"/>
      <w:szCs w:val="24"/>
      <w:u w:val="single"/>
      <w:lang w:val="id-ID"/>
    </w:rPr>
  </w:style>
  <w:style w:type="character" w:customStyle="1" w:styleId="JUDULHALAMANPERSETUJUANChar">
    <w:name w:val="JUDUL HALAMAN PERSETUJUAN Char"/>
    <w:link w:val="JUDULHALAMANPERSETUJUAN"/>
    <w:rsid w:val="00EE02C9"/>
    <w:rPr>
      <w:rFonts w:ascii="Times New Roman" w:eastAsia="Calibri" w:hAnsi="Times New Roman" w:cs="Times New Roman"/>
      <w:b/>
      <w:bCs/>
      <w:kern w:val="24"/>
      <w:sz w:val="28"/>
      <w:szCs w:val="28"/>
    </w:rPr>
  </w:style>
  <w:style w:type="character" w:customStyle="1" w:styleId="NAMAHALAMANPERSETUJUANChar">
    <w:name w:val="NAMA HALAMAN PERSETUJUAN Char"/>
    <w:link w:val="NAMAHALAMANPERSETUJUAN"/>
    <w:rsid w:val="00EE02C9"/>
    <w:rPr>
      <w:rFonts w:ascii="Times New Roman" w:eastAsia="Calibri" w:hAnsi="Times New Roman" w:cs="Times New Roman"/>
      <w:b/>
      <w:bCs/>
      <w:sz w:val="24"/>
      <w:szCs w:val="24"/>
      <w:u w:val="single"/>
      <w:lang w:val="id-ID"/>
    </w:rPr>
  </w:style>
  <w:style w:type="paragraph" w:customStyle="1" w:styleId="HALAMANPENGESAHAN">
    <w:name w:val="HALAMAN PENGESAHAN"/>
    <w:basedOn w:val="Normal"/>
    <w:link w:val="HALAMANPENGESAHANChar"/>
    <w:autoRedefine/>
    <w:qFormat/>
    <w:rsid w:val="00EE02C9"/>
    <w:pPr>
      <w:spacing w:line="360" w:lineRule="auto"/>
    </w:pPr>
    <w:rPr>
      <w:rFonts w:eastAsia="Calibri"/>
      <w:b/>
      <w:bCs/>
      <w:kern w:val="24"/>
      <w:sz w:val="24"/>
      <w:szCs w:val="24"/>
    </w:rPr>
  </w:style>
  <w:style w:type="paragraph" w:customStyle="1" w:styleId="JUDULHALAMANPENGESAHAN">
    <w:name w:val="JUDUL HALAMAN PENGESAHAN"/>
    <w:basedOn w:val="Normal"/>
    <w:link w:val="JUDULHALAMANPENGESAHANChar"/>
    <w:qFormat/>
    <w:rsid w:val="00EE02C9"/>
    <w:rPr>
      <w:rFonts w:eastAsia="Calibri"/>
      <w:b/>
      <w:bCs/>
      <w:kern w:val="24"/>
      <w:sz w:val="28"/>
      <w:szCs w:val="28"/>
    </w:rPr>
  </w:style>
  <w:style w:type="character" w:customStyle="1" w:styleId="HALAMANPENGESAHANChar">
    <w:name w:val="HALAMAN PENGESAHAN Char"/>
    <w:link w:val="HALAMANPENGESAHAN"/>
    <w:rsid w:val="00EE02C9"/>
    <w:rPr>
      <w:rFonts w:ascii="Times New Roman" w:eastAsia="Calibri" w:hAnsi="Times New Roman" w:cs="Times New Roman"/>
      <w:b/>
      <w:bCs/>
      <w:kern w:val="24"/>
      <w:sz w:val="24"/>
      <w:szCs w:val="24"/>
    </w:rPr>
  </w:style>
  <w:style w:type="character" w:customStyle="1" w:styleId="JUDULHALAMANPENGESAHANChar">
    <w:name w:val="JUDUL HALAMAN PENGESAHAN Char"/>
    <w:link w:val="JUDULHALAMANPENGESAHAN"/>
    <w:rsid w:val="00EE02C9"/>
    <w:rPr>
      <w:rFonts w:ascii="Times New Roman" w:eastAsia="Calibri" w:hAnsi="Times New Roman" w:cs="Times New Roman"/>
      <w:b/>
      <w:bCs/>
      <w:kern w:val="24"/>
      <w:sz w:val="28"/>
      <w:szCs w:val="28"/>
    </w:rPr>
  </w:style>
  <w:style w:type="paragraph" w:customStyle="1" w:styleId="PERNYATAAN">
    <w:name w:val="PERNYATAAN"/>
    <w:basedOn w:val="Normal"/>
    <w:link w:val="PERNYATAANChar"/>
    <w:autoRedefine/>
    <w:qFormat/>
    <w:rsid w:val="00EE02C9"/>
    <w:pPr>
      <w:spacing w:line="480" w:lineRule="auto"/>
      <w:ind w:firstLine="720"/>
      <w:jc w:val="left"/>
    </w:pPr>
    <w:rPr>
      <w:rFonts w:eastAsia="Calibri"/>
      <w:kern w:val="24"/>
      <w:sz w:val="24"/>
      <w:szCs w:val="24"/>
      <w:lang w:val="id-ID"/>
    </w:rPr>
  </w:style>
  <w:style w:type="character" w:customStyle="1" w:styleId="PERNYATAANChar">
    <w:name w:val="PERNYATAAN Char"/>
    <w:link w:val="PERNYATAAN"/>
    <w:rsid w:val="00EE02C9"/>
    <w:rPr>
      <w:rFonts w:ascii="Times New Roman" w:eastAsia="Calibri" w:hAnsi="Times New Roman" w:cs="Times New Roman"/>
      <w:kern w:val="24"/>
      <w:sz w:val="24"/>
      <w:szCs w:val="24"/>
      <w:lang w:val="id-ID"/>
    </w:rPr>
  </w:style>
  <w:style w:type="character" w:styleId="PlaceholderText">
    <w:name w:val="Placeholder Text"/>
    <w:uiPriority w:val="99"/>
    <w:semiHidden/>
    <w:rsid w:val="00AE645E"/>
    <w:rPr>
      <w:color w:val="808080"/>
    </w:rPr>
  </w:style>
  <w:style w:type="paragraph" w:styleId="FootnoteText">
    <w:name w:val="footnote text"/>
    <w:basedOn w:val="Normal"/>
    <w:link w:val="FootnoteTextChar"/>
    <w:semiHidden/>
    <w:rsid w:val="0054573E"/>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54573E"/>
    <w:rPr>
      <w:rFonts w:ascii="Times New Roman" w:eastAsia="Times New Roman" w:hAnsi="Times New Roman" w:cs="Times New Roman"/>
      <w:sz w:val="16"/>
      <w:szCs w:val="16"/>
    </w:rPr>
  </w:style>
  <w:style w:type="paragraph" w:customStyle="1" w:styleId="TableTitle">
    <w:name w:val="Table Title"/>
    <w:basedOn w:val="Normal"/>
    <w:rsid w:val="0054573E"/>
    <w:pPr>
      <w:autoSpaceDE w:val="0"/>
      <w:autoSpaceDN w:val="0"/>
    </w:pPr>
    <w:rPr>
      <w:rFonts w:eastAsia="Times New Roman"/>
      <w:smallCaps/>
      <w:sz w:val="16"/>
      <w:szCs w:val="16"/>
    </w:rPr>
  </w:style>
  <w:style w:type="table" w:styleId="TableGrid">
    <w:name w:val="Table Grid"/>
    <w:basedOn w:val="TableNormal"/>
    <w:uiPriority w:val="59"/>
    <w:rsid w:val="00EE0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23144"/>
    <w:pPr>
      <w:spacing w:after="200"/>
    </w:pPr>
    <w:rPr>
      <w:iCs/>
      <w:sz w:val="18"/>
      <w:szCs w:val="18"/>
    </w:rPr>
  </w:style>
  <w:style w:type="table" w:customStyle="1" w:styleId="PlainTable21">
    <w:name w:val="Plain Table 21"/>
    <w:basedOn w:val="TableNormal"/>
    <w:uiPriority w:val="42"/>
    <w:qFormat/>
    <w:rsid w:val="00665B0E"/>
    <w:tblPr>
      <w:tblStyleRowBandSize w:val="1"/>
      <w:tblStyleColBandSize w:val="1"/>
      <w:tblBorders>
        <w:top w:val="triple" w:sz="4" w:space="0" w:color="auto"/>
        <w:bottom w:val="trip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istParagraph1">
    <w:name w:val="List Paragraph1"/>
    <w:basedOn w:val="Normal"/>
    <w:link w:val="ListParagraphChar"/>
    <w:uiPriority w:val="34"/>
    <w:qFormat/>
    <w:rsid w:val="00021C08"/>
    <w:pPr>
      <w:spacing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Paragraph Char"/>
    <w:basedOn w:val="DefaultParagraphFont"/>
    <w:link w:val="ListParagraph1"/>
    <w:uiPriority w:val="34"/>
    <w:qFormat/>
    <w:rsid w:val="00021C08"/>
  </w:style>
  <w:style w:type="paragraph" w:styleId="NoSpacing">
    <w:name w:val="No Spacing"/>
    <w:uiPriority w:val="1"/>
    <w:qFormat/>
    <w:rsid w:val="00241118"/>
    <w:rPr>
      <w:sz w:val="22"/>
      <w:szCs w:val="22"/>
    </w:rPr>
  </w:style>
  <w:style w:type="paragraph" w:styleId="NormalWeb">
    <w:name w:val="Normal (Web)"/>
    <w:basedOn w:val="Normal"/>
    <w:uiPriority w:val="99"/>
    <w:unhideWhenUsed/>
    <w:rsid w:val="00241118"/>
    <w:pPr>
      <w:spacing w:before="100" w:beforeAutospacing="1" w:after="100" w:afterAutospacing="1"/>
      <w:jc w:val="left"/>
    </w:pPr>
    <w:rPr>
      <w:rFonts w:eastAsia="Times New Roman"/>
      <w:sz w:val="24"/>
      <w:szCs w:val="24"/>
    </w:rPr>
  </w:style>
  <w:style w:type="character" w:styleId="CommentReference">
    <w:name w:val="annotation reference"/>
    <w:uiPriority w:val="99"/>
    <w:semiHidden/>
    <w:unhideWhenUsed/>
    <w:rsid w:val="006574D4"/>
    <w:rPr>
      <w:sz w:val="16"/>
      <w:szCs w:val="16"/>
    </w:rPr>
  </w:style>
  <w:style w:type="paragraph" w:styleId="CommentText">
    <w:name w:val="annotation text"/>
    <w:basedOn w:val="Normal"/>
    <w:link w:val="CommentTextChar"/>
    <w:uiPriority w:val="99"/>
    <w:semiHidden/>
    <w:unhideWhenUsed/>
    <w:rsid w:val="006574D4"/>
  </w:style>
  <w:style w:type="character" w:customStyle="1" w:styleId="CommentTextChar">
    <w:name w:val="Comment Text Char"/>
    <w:link w:val="CommentText"/>
    <w:uiPriority w:val="99"/>
    <w:semiHidden/>
    <w:rsid w:val="006574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74D4"/>
    <w:rPr>
      <w:b/>
      <w:bCs/>
    </w:rPr>
  </w:style>
  <w:style w:type="character" w:customStyle="1" w:styleId="CommentSubjectChar">
    <w:name w:val="Comment Subject Char"/>
    <w:link w:val="CommentSubject"/>
    <w:uiPriority w:val="99"/>
    <w:semiHidden/>
    <w:rsid w:val="006574D4"/>
    <w:rPr>
      <w:rFonts w:ascii="Times New Roman" w:eastAsia="SimSu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7246">
      <w:bodyDiv w:val="1"/>
      <w:marLeft w:val="0"/>
      <w:marRight w:val="0"/>
      <w:marTop w:val="0"/>
      <w:marBottom w:val="0"/>
      <w:divBdr>
        <w:top w:val="none" w:sz="0" w:space="0" w:color="auto"/>
        <w:left w:val="none" w:sz="0" w:space="0" w:color="auto"/>
        <w:bottom w:val="none" w:sz="0" w:space="0" w:color="auto"/>
        <w:right w:val="none" w:sz="0" w:space="0" w:color="auto"/>
      </w:divBdr>
    </w:div>
    <w:div w:id="686760828">
      <w:bodyDiv w:val="1"/>
      <w:marLeft w:val="0"/>
      <w:marRight w:val="0"/>
      <w:marTop w:val="0"/>
      <w:marBottom w:val="0"/>
      <w:divBdr>
        <w:top w:val="none" w:sz="0" w:space="0" w:color="auto"/>
        <w:left w:val="none" w:sz="0" w:space="0" w:color="auto"/>
        <w:bottom w:val="none" w:sz="0" w:space="0" w:color="auto"/>
        <w:right w:val="none" w:sz="0" w:space="0" w:color="auto"/>
      </w:divBdr>
    </w:div>
    <w:div w:id="876429460">
      <w:bodyDiv w:val="1"/>
      <w:marLeft w:val="0"/>
      <w:marRight w:val="0"/>
      <w:marTop w:val="0"/>
      <w:marBottom w:val="0"/>
      <w:divBdr>
        <w:top w:val="none" w:sz="0" w:space="0" w:color="auto"/>
        <w:left w:val="none" w:sz="0" w:space="0" w:color="auto"/>
        <w:bottom w:val="none" w:sz="0" w:space="0" w:color="auto"/>
        <w:right w:val="none" w:sz="0" w:space="0" w:color="auto"/>
      </w:divBdr>
    </w:div>
    <w:div w:id="1421179094">
      <w:bodyDiv w:val="1"/>
      <w:marLeft w:val="0"/>
      <w:marRight w:val="0"/>
      <w:marTop w:val="0"/>
      <w:marBottom w:val="0"/>
      <w:divBdr>
        <w:top w:val="none" w:sz="0" w:space="0" w:color="auto"/>
        <w:left w:val="none" w:sz="0" w:space="0" w:color="auto"/>
        <w:bottom w:val="none" w:sz="0" w:space="0" w:color="auto"/>
        <w:right w:val="none" w:sz="0" w:space="0" w:color="auto"/>
      </w:divBdr>
    </w:div>
    <w:div w:id="1565020032">
      <w:bodyDiv w:val="1"/>
      <w:marLeft w:val="0"/>
      <w:marRight w:val="0"/>
      <w:marTop w:val="0"/>
      <w:marBottom w:val="0"/>
      <w:divBdr>
        <w:top w:val="none" w:sz="0" w:space="0" w:color="auto"/>
        <w:left w:val="none" w:sz="0" w:space="0" w:color="auto"/>
        <w:bottom w:val="none" w:sz="0" w:space="0" w:color="auto"/>
        <w:right w:val="none" w:sz="0" w:space="0" w:color="auto"/>
      </w:divBdr>
    </w:div>
    <w:div w:id="186963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728-5C9B-49CD-8B9C-FD15E8AA3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14570</Words>
  <Characters>83052</Characters>
  <Application>Microsoft Office Word</Application>
  <DocSecurity>0</DocSecurity>
  <Lines>692</Lines>
  <Paragraphs>194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PENDAHULUAN (INTRODUCTION)</vt:lpstr>
      <vt:lpstr/>
      <vt:lpstr>METODE PENELITIAN (RESEARCH METHODOLOGY)</vt:lpstr>
      <vt:lpstr>HASIL DAN PEMBAHASAN (RESULT AND DISCUSSION)</vt:lpstr>
    </vt:vector>
  </TitlesOfParts>
  <LinksUpToDate>false</LinksUpToDate>
  <CharactersWithSpaces>97428</CharactersWithSpaces>
  <SharedDoc>false</SharedDoc>
  <HLinks>
    <vt:vector size="6" baseType="variant">
      <vt:variant>
        <vt:i4>3670033</vt:i4>
      </vt:variant>
      <vt:variant>
        <vt:i4>0</vt:i4>
      </vt:variant>
      <vt:variant>
        <vt:i4>0</vt:i4>
      </vt:variant>
      <vt:variant>
        <vt:i4>5</vt:i4>
      </vt:variant>
      <vt:variant>
        <vt:lpwstr>mailto:haniafifah02@gmail.com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2021-09-21T09:33:00Z</dcterms:created>
  <dcterms:modified xsi:type="dcterms:W3CDTF">2021-09-21T11:14:00Z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farizky.rahman@gmail.com@www.mendeley.com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